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FA146" w14:textId="77777777" w:rsidR="00F931A8" w:rsidRDefault="00D7611E" w:rsidP="002344D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2302F">
        <w:rPr>
          <w:b/>
          <w:sz w:val="28"/>
          <w:szCs w:val="28"/>
        </w:rPr>
        <w:t xml:space="preserve">Inverse Design for Femtosecond-Laser Photonic Surfaces with </w:t>
      </w:r>
      <w:r>
        <w:rPr>
          <w:b/>
          <w:sz w:val="28"/>
          <w:szCs w:val="28"/>
        </w:rPr>
        <w:t xml:space="preserve">Direct </w:t>
      </w:r>
      <w:r w:rsidRPr="00B2302F">
        <w:rPr>
          <w:b/>
          <w:sz w:val="28"/>
          <w:szCs w:val="28"/>
        </w:rPr>
        <w:t>Gradient Optimi</w:t>
      </w:r>
      <w:r>
        <w:rPr>
          <w:b/>
          <w:sz w:val="28"/>
          <w:szCs w:val="28"/>
        </w:rPr>
        <w:t>z</w:t>
      </w:r>
      <w:r w:rsidRPr="00B2302F">
        <w:rPr>
          <w:b/>
          <w:sz w:val="28"/>
          <w:szCs w:val="28"/>
        </w:rPr>
        <w:t>ation</w:t>
      </w:r>
    </w:p>
    <w:p w14:paraId="6A3AC2CF" w14:textId="77777777" w:rsidR="00D7611E" w:rsidRDefault="00D7611E" w:rsidP="002344D6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6B506ADE" w14:textId="608ED47A" w:rsidR="00D7611E" w:rsidRPr="00D7611E" w:rsidRDefault="00D7611E" w:rsidP="00D7611E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7611E">
        <w:rPr>
          <w:sz w:val="22"/>
          <w:szCs w:val="22"/>
          <w:u w:val="single"/>
        </w:rPr>
        <w:t>A. Haboub</w:t>
      </w:r>
      <w:r w:rsidRPr="00D7611E">
        <w:rPr>
          <w:sz w:val="22"/>
          <w:szCs w:val="22"/>
          <w:vertAlign w:val="superscript"/>
        </w:rPr>
        <w:t>1</w:t>
      </w:r>
      <w:r w:rsidRPr="00D7611E">
        <w:rPr>
          <w:sz w:val="22"/>
          <w:szCs w:val="22"/>
        </w:rPr>
        <w:t xml:space="preserve">, A. Khelif </w:t>
      </w:r>
      <w:r w:rsidRPr="00D7611E">
        <w:rPr>
          <w:sz w:val="22"/>
          <w:szCs w:val="22"/>
          <w:vertAlign w:val="superscript"/>
        </w:rPr>
        <w:t>2</w:t>
      </w:r>
      <w:r w:rsidRPr="00D7611E">
        <w:rPr>
          <w:sz w:val="22"/>
          <w:szCs w:val="22"/>
        </w:rPr>
        <w:t>, and B. Aissa</w:t>
      </w:r>
      <w:r w:rsidRPr="00D7611E">
        <w:rPr>
          <w:sz w:val="22"/>
          <w:szCs w:val="22"/>
          <w:vertAlign w:val="superscript"/>
        </w:rPr>
        <w:t>1</w:t>
      </w:r>
    </w:p>
    <w:p w14:paraId="0720C787" w14:textId="31505827" w:rsidR="00D7611E" w:rsidRPr="00D7611E" w:rsidRDefault="00D7611E" w:rsidP="00D7611E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C12F35">
        <w:rPr>
          <w:sz w:val="20"/>
          <w:szCs w:val="20"/>
          <w:vertAlign w:val="superscript"/>
        </w:rPr>
        <w:t>1</w:t>
      </w:r>
      <w:r w:rsidRPr="00D7611E">
        <w:rPr>
          <w:i/>
          <w:iCs/>
          <w:sz w:val="20"/>
          <w:szCs w:val="20"/>
        </w:rPr>
        <w:t xml:space="preserve">Qatar Environment and Energy Research Institute, Materials Center, </w:t>
      </w:r>
    </w:p>
    <w:p w14:paraId="0F9349B5" w14:textId="77777777" w:rsidR="00D7611E" w:rsidRPr="00D7611E" w:rsidRDefault="00D7611E" w:rsidP="00D7611E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D7611E">
        <w:rPr>
          <w:i/>
          <w:iCs/>
          <w:sz w:val="20"/>
          <w:szCs w:val="20"/>
        </w:rPr>
        <w:t>Hamad Bin Khalifa University, Doha, Qatar.</w:t>
      </w:r>
    </w:p>
    <w:p w14:paraId="207F590E" w14:textId="7E039F89" w:rsidR="00D7611E" w:rsidRPr="00D7611E" w:rsidRDefault="00D7611E" w:rsidP="00D7611E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C12F35">
        <w:rPr>
          <w:sz w:val="20"/>
          <w:szCs w:val="20"/>
          <w:vertAlign w:val="superscript"/>
        </w:rPr>
        <w:t>2</w:t>
      </w:r>
      <w:r w:rsidRPr="00D7611E">
        <w:rPr>
          <w:i/>
          <w:iCs/>
          <w:sz w:val="20"/>
          <w:szCs w:val="20"/>
        </w:rPr>
        <w:t>College of Science and Engineering, Hamad Bin Khalifa University, Doha, Qatar.</w:t>
      </w:r>
    </w:p>
    <w:p w14:paraId="50883FAF" w14:textId="77777777" w:rsidR="003E0534" w:rsidRDefault="004E3764" w:rsidP="00D7611E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e</w:t>
      </w:r>
      <w:r w:rsidR="00CC429D" w:rsidRPr="00F931A8">
        <w:rPr>
          <w:sz w:val="20"/>
          <w:szCs w:val="20"/>
        </w:rPr>
        <w:t>-mail:</w:t>
      </w:r>
      <w:r w:rsidR="00701D93">
        <w:rPr>
          <w:sz w:val="20"/>
          <w:szCs w:val="20"/>
        </w:rPr>
        <w:t xml:space="preserve"> </w:t>
      </w:r>
      <w:r w:rsidR="00D7611E" w:rsidRPr="00D7611E">
        <w:rPr>
          <w:sz w:val="20"/>
          <w:szCs w:val="20"/>
        </w:rPr>
        <w:t>amhaboub@hbku.edu.qa</w:t>
      </w:r>
    </w:p>
    <w:p w14:paraId="15FFEF00" w14:textId="77777777" w:rsidR="00D7611E" w:rsidRDefault="00D7611E" w:rsidP="00D7611E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14:paraId="16807EFC" w14:textId="77777777" w:rsidR="003E0534" w:rsidRDefault="003E0534" w:rsidP="003E053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A9454EC" w14:textId="77777777" w:rsidR="00D7611E" w:rsidRPr="00D7611E" w:rsidRDefault="00D7611E" w:rsidP="00D7611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D7611E">
        <w:rPr>
          <w:sz w:val="22"/>
          <w:szCs w:val="22"/>
        </w:rPr>
        <w:t>The inverse design of photonic surfaces produced by high-throughput femtosecond laser processing is limited by a strongly non-linear, many-to-one mapping from laser parameters (power, speed, hatch spacing) to the resulting optical spectrum. Tandem Neural Networks (TNNs) mitigate this ill-posedness by pairing a forward surrogate with a separately trained inverse network, but they still rely on artificial noise injection to uncover diverse solutions and still explore the design space only sparsely. We propose Direct Gradient Optimization (DGO), a single-network alternative that treats the pre-trained forward surrogate as a differentiable proxy for the laser–material interaction and back-propagates errors all the way to the process parameters. This strategy (</w:t>
      </w:r>
      <w:proofErr w:type="spellStart"/>
      <w:r w:rsidRPr="00D7611E">
        <w:rPr>
          <w:sz w:val="22"/>
          <w:szCs w:val="22"/>
        </w:rPr>
        <w:t>i</w:t>
      </w:r>
      <w:proofErr w:type="spellEnd"/>
      <w:r w:rsidRPr="00D7611E">
        <w:rPr>
          <w:sz w:val="22"/>
          <w:szCs w:val="22"/>
        </w:rPr>
        <w:t xml:space="preserve">) eliminates inverse-model training, (ii) allows the embedding of practical constraints such as laser-power penalties to be encoded directly in the loss function, and (iii) yields transparent sensitivity information through native gradients and SHapley Additive exPlanations (SHAP). </w:t>
      </w:r>
    </w:p>
    <w:p w14:paraId="078AD79A" w14:textId="77777777" w:rsidR="00D7611E" w:rsidRPr="00D7611E" w:rsidRDefault="00D7611E" w:rsidP="00D7611E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747DD7B4" w14:textId="77777777" w:rsidR="00E23BD2" w:rsidRDefault="00D7611E" w:rsidP="00D7611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D7611E">
        <w:rPr>
          <w:sz w:val="22"/>
          <w:szCs w:val="22"/>
        </w:rPr>
        <w:t>Two optimization modes are assessed: a single-start DGO and a parallel multi-start “Tournament” DGO that launches multiple random seeds, runs a brief qualification phase, and refines only the five most promising candidates. Across 10000+ inverse-design tasks, Tournament-DGO cuts the average spectral root-mean-squared error (RMSE) from 1.29 % (best TNN) to 0.70 %, and boosts design novelty (quantified by the Normalized Euclidean Parameter Distance, NEPD) from 0.26 to 0.38. A SHAP-based meta-analysis shows that convergence is dominated by the initial hatch spacing, explaining why broad sampling followed by pruning addresses this sensitivity.</w:t>
      </w:r>
      <w:r>
        <w:rPr>
          <w:sz w:val="22"/>
          <w:szCs w:val="22"/>
        </w:rPr>
        <w:t xml:space="preserve"> </w:t>
      </w:r>
      <w:r w:rsidRPr="00D7611E">
        <w:rPr>
          <w:sz w:val="22"/>
          <w:szCs w:val="22"/>
        </w:rPr>
        <w:t>DGO delivers state-of-the-art accuracy, enhanced robustness, and diverse inverse solution without noise heuristics or extra model training. Its ability to embed manufacturability constraints directly in the optimization loop establishes a powerful, energy-aware platform for scalable photonic devices, thermal emitters, and meta surfaces.</w:t>
      </w:r>
    </w:p>
    <w:p w14:paraId="1AC90D67" w14:textId="77777777" w:rsidR="00887745" w:rsidRDefault="00C55C27" w:rsidP="00D7611E">
      <w:pPr>
        <w:autoSpaceDE w:val="0"/>
        <w:autoSpaceDN w:val="0"/>
        <w:adjustRightInd w:val="0"/>
        <w:jc w:val="center"/>
        <w:rPr>
          <w:noProof/>
          <w:color w:val="000000"/>
        </w:rPr>
      </w:pPr>
      <w:r w:rsidRPr="00D7611E">
        <w:rPr>
          <w:noProof/>
          <w:color w:val="000000"/>
        </w:rPr>
        <w:drawing>
          <wp:inline distT="0" distB="0" distL="0" distR="0" wp14:anchorId="1DC7BF2C" wp14:editId="12FDAD6A">
            <wp:extent cx="4836160" cy="2196465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6160" cy="219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13E962" w14:textId="77777777" w:rsidR="00D7611E" w:rsidRDefault="00D7611E" w:rsidP="00D7611E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14:paraId="4CED1A96" w14:textId="77777777" w:rsidR="009530BA" w:rsidRPr="00CA358E" w:rsidRDefault="009530BA" w:rsidP="009530BA">
      <w:pPr>
        <w:keepNext/>
        <w:keepLines/>
        <w:spacing w:after="240"/>
        <w:ind w:firstLine="357"/>
        <w:jc w:val="center"/>
        <w:rPr>
          <w:sz w:val="20"/>
          <w:szCs w:val="20"/>
          <w:lang w:val="sr-Latn-CS"/>
        </w:rPr>
      </w:pPr>
      <w:r>
        <w:rPr>
          <w:sz w:val="20"/>
          <w:szCs w:val="20"/>
        </w:rPr>
        <w:t>Figure</w:t>
      </w:r>
      <w:r w:rsidRPr="00CA358E">
        <w:rPr>
          <w:sz w:val="20"/>
          <w:szCs w:val="20"/>
          <w:lang w:val="sr-Latn-CS"/>
        </w:rPr>
        <w:t xml:space="preserve"> 1. </w:t>
      </w:r>
      <w:r w:rsidR="00D7611E" w:rsidRPr="00D7611E">
        <w:rPr>
          <w:sz w:val="20"/>
          <w:szCs w:val="20"/>
        </w:rPr>
        <w:t>Comparison of TNN (left) and DGO (right) across 10,000+ inverse-design tasks. Points show spectral RMSE vs design novelty (NEPD). DGO achieves lower mean error (0.70\% vs 1.29\%) and higher novelty (0.38 vs 0.26)</w:t>
      </w:r>
      <w:r>
        <w:rPr>
          <w:sz w:val="20"/>
          <w:szCs w:val="20"/>
          <w:lang w:val="sr-Latn-CS"/>
        </w:rPr>
        <w:t>.</w:t>
      </w:r>
    </w:p>
    <w:p w14:paraId="3F21B8FF" w14:textId="77777777" w:rsidR="00CC429D" w:rsidRPr="00F931A8" w:rsidRDefault="00CC429D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>R</w:t>
      </w:r>
      <w:r w:rsidR="00EC6F4C">
        <w:rPr>
          <w:sz w:val="22"/>
          <w:szCs w:val="22"/>
        </w:rPr>
        <w:t>EFERENCES</w:t>
      </w:r>
    </w:p>
    <w:p w14:paraId="0BC2D393" w14:textId="77777777" w:rsidR="00D7611E" w:rsidRDefault="00D7611E" w:rsidP="00D7611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D7611E">
        <w:rPr>
          <w:sz w:val="22"/>
          <w:szCs w:val="22"/>
        </w:rPr>
        <w:t xml:space="preserve">[1] M. Park, L. </w:t>
      </w:r>
      <w:proofErr w:type="spellStart"/>
      <w:r w:rsidRPr="00D7611E">
        <w:rPr>
          <w:sz w:val="22"/>
          <w:szCs w:val="22"/>
        </w:rPr>
        <w:t>Grbčić</w:t>
      </w:r>
      <w:proofErr w:type="spellEnd"/>
      <w:r w:rsidRPr="00D7611E">
        <w:rPr>
          <w:sz w:val="22"/>
          <w:szCs w:val="22"/>
        </w:rPr>
        <w:t xml:space="preserve">, et al., Adv. Sci. 11(26), 2401951 (2024). </w:t>
      </w:r>
    </w:p>
    <w:p w14:paraId="4C3B6613" w14:textId="77777777" w:rsidR="00CC429D" w:rsidRPr="00E23BD2" w:rsidRDefault="00D7611E" w:rsidP="00D7611E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D7611E">
        <w:rPr>
          <w:sz w:val="22"/>
          <w:szCs w:val="22"/>
        </w:rPr>
        <w:t xml:space="preserve">[2] L. </w:t>
      </w:r>
      <w:proofErr w:type="spellStart"/>
      <w:r w:rsidRPr="00D7611E">
        <w:rPr>
          <w:sz w:val="22"/>
          <w:szCs w:val="22"/>
        </w:rPr>
        <w:t>Grbčić</w:t>
      </w:r>
      <w:proofErr w:type="spellEnd"/>
      <w:r w:rsidRPr="00D7611E">
        <w:rPr>
          <w:sz w:val="22"/>
          <w:szCs w:val="22"/>
        </w:rPr>
        <w:t xml:space="preserve">, M. Park, et al., </w:t>
      </w:r>
      <w:proofErr w:type="spellStart"/>
      <w:r w:rsidRPr="00D7611E">
        <w:rPr>
          <w:sz w:val="22"/>
          <w:szCs w:val="22"/>
        </w:rPr>
        <w:t>npj</w:t>
      </w:r>
      <w:proofErr w:type="spellEnd"/>
      <w:r w:rsidRPr="00D7611E">
        <w:rPr>
          <w:sz w:val="22"/>
          <w:szCs w:val="22"/>
        </w:rPr>
        <w:t xml:space="preserve"> </w:t>
      </w:r>
      <w:proofErr w:type="spellStart"/>
      <w:r w:rsidRPr="00D7611E">
        <w:rPr>
          <w:sz w:val="22"/>
          <w:szCs w:val="22"/>
        </w:rPr>
        <w:t>Comput</w:t>
      </w:r>
      <w:proofErr w:type="spellEnd"/>
      <w:r w:rsidRPr="00D7611E">
        <w:rPr>
          <w:sz w:val="22"/>
          <w:szCs w:val="22"/>
        </w:rPr>
        <w:t>. Mater. 11(1), 35 (2025).</w:t>
      </w:r>
    </w:p>
    <w:sectPr w:rsidR="00CC429D" w:rsidRPr="00E23BD2" w:rsidSect="006A6C19">
      <w:footerReference w:type="default" r:id="rId7"/>
      <w:pgSz w:w="11907" w:h="16840" w:code="9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0E67E" w14:textId="77777777" w:rsidR="002C2800" w:rsidRDefault="002C2800" w:rsidP="003C5D01">
      <w:r>
        <w:separator/>
      </w:r>
    </w:p>
  </w:endnote>
  <w:endnote w:type="continuationSeparator" w:id="0">
    <w:p w14:paraId="457E2841" w14:textId="77777777" w:rsidR="002C2800" w:rsidRDefault="002C2800" w:rsidP="003C5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30021" w14:textId="77777777" w:rsidR="003C5D01" w:rsidRDefault="003C5D01">
    <w:pPr>
      <w:pStyle w:val="Footer"/>
    </w:pPr>
    <w:r w:rsidRPr="003C5D01">
      <w:t>ORCID:</w:t>
    </w:r>
    <w:r w:rsidR="00F23558">
      <w:t xml:space="preserve"> </w:t>
    </w:r>
    <w:r w:rsidR="00D7611E">
      <w:t>A</w:t>
    </w:r>
    <w:r w:rsidR="00F23558">
      <w:t>.</w:t>
    </w:r>
    <w:r w:rsidR="00D7611E">
      <w:t>H</w:t>
    </w:r>
    <w:r w:rsidR="00F23558">
      <w:t>.</w:t>
    </w:r>
    <w:r w:rsidRPr="003C5D01">
      <w:t xml:space="preserve"> </w:t>
    </w:r>
    <w:r w:rsidR="00D7611E" w:rsidRPr="00D7611E">
      <w:t>0000-0002-0766-2272</w:t>
    </w:r>
    <w:r w:rsidRPr="003C5D01">
      <w:t xml:space="preserve">, </w:t>
    </w:r>
    <w:r w:rsidR="00D7611E">
      <w:t>A</w:t>
    </w:r>
    <w:r w:rsidR="00F23558">
      <w:t>.</w:t>
    </w:r>
    <w:r w:rsidR="00D7611E">
      <w:t>K</w:t>
    </w:r>
    <w:r w:rsidR="00F23558">
      <w:t xml:space="preserve">. </w:t>
    </w:r>
    <w:r w:rsidR="00B30CDA" w:rsidRPr="00B30CDA">
      <w:t>0000-0001-8712-824X</w:t>
    </w:r>
    <w:r w:rsidR="00B30CDA">
      <w:t xml:space="preserve">, B.A. </w:t>
    </w:r>
    <w:r w:rsidR="00B30CDA" w:rsidRPr="00B30CDA">
      <w:t>0000-0002-4768-9891</w:t>
    </w:r>
  </w:p>
  <w:p w14:paraId="22A8B9C6" w14:textId="77777777" w:rsidR="003C5D01" w:rsidRDefault="003C5D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85A05" w14:textId="77777777" w:rsidR="002C2800" w:rsidRDefault="002C2800" w:rsidP="003C5D01">
      <w:r>
        <w:separator/>
      </w:r>
    </w:p>
  </w:footnote>
  <w:footnote w:type="continuationSeparator" w:id="0">
    <w:p w14:paraId="7F35DD50" w14:textId="77777777" w:rsidR="002C2800" w:rsidRDefault="002C2800" w:rsidP="003C5D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29D"/>
    <w:rsid w:val="00037E31"/>
    <w:rsid w:val="00050DC8"/>
    <w:rsid w:val="000A3267"/>
    <w:rsid w:val="000D5EFF"/>
    <w:rsid w:val="000E24E1"/>
    <w:rsid w:val="0010060E"/>
    <w:rsid w:val="0016793B"/>
    <w:rsid w:val="0019259C"/>
    <w:rsid w:val="001C4C2D"/>
    <w:rsid w:val="001E5803"/>
    <w:rsid w:val="002344D6"/>
    <w:rsid w:val="00284FA3"/>
    <w:rsid w:val="002C2800"/>
    <w:rsid w:val="002D3E49"/>
    <w:rsid w:val="00336A61"/>
    <w:rsid w:val="003949BB"/>
    <w:rsid w:val="003B0B4A"/>
    <w:rsid w:val="003C5D01"/>
    <w:rsid w:val="003E0534"/>
    <w:rsid w:val="003E78D2"/>
    <w:rsid w:val="004A6CAC"/>
    <w:rsid w:val="004E3764"/>
    <w:rsid w:val="005243C5"/>
    <w:rsid w:val="005C083B"/>
    <w:rsid w:val="005E0E65"/>
    <w:rsid w:val="00614221"/>
    <w:rsid w:val="006316BB"/>
    <w:rsid w:val="00634539"/>
    <w:rsid w:val="006A6C19"/>
    <w:rsid w:val="006C1B0C"/>
    <w:rsid w:val="006F1839"/>
    <w:rsid w:val="00701D93"/>
    <w:rsid w:val="00731D38"/>
    <w:rsid w:val="007714E1"/>
    <w:rsid w:val="00787C90"/>
    <w:rsid w:val="00792253"/>
    <w:rsid w:val="007A4A40"/>
    <w:rsid w:val="007B1AB0"/>
    <w:rsid w:val="00817F14"/>
    <w:rsid w:val="00887745"/>
    <w:rsid w:val="00933B5B"/>
    <w:rsid w:val="00937560"/>
    <w:rsid w:val="009530BA"/>
    <w:rsid w:val="009659F3"/>
    <w:rsid w:val="0098310E"/>
    <w:rsid w:val="00991AF1"/>
    <w:rsid w:val="009E1E5E"/>
    <w:rsid w:val="00A64658"/>
    <w:rsid w:val="00AB49CF"/>
    <w:rsid w:val="00AF194F"/>
    <w:rsid w:val="00B11BE6"/>
    <w:rsid w:val="00B215E4"/>
    <w:rsid w:val="00B30CDA"/>
    <w:rsid w:val="00B95BFF"/>
    <w:rsid w:val="00BF5067"/>
    <w:rsid w:val="00C12F35"/>
    <w:rsid w:val="00C269BE"/>
    <w:rsid w:val="00C31D69"/>
    <w:rsid w:val="00C50B12"/>
    <w:rsid w:val="00C55C27"/>
    <w:rsid w:val="00C96B61"/>
    <w:rsid w:val="00CC429D"/>
    <w:rsid w:val="00CD7FD3"/>
    <w:rsid w:val="00D32527"/>
    <w:rsid w:val="00D7611E"/>
    <w:rsid w:val="00E23BD2"/>
    <w:rsid w:val="00E2743A"/>
    <w:rsid w:val="00EC5B27"/>
    <w:rsid w:val="00EC6F4C"/>
    <w:rsid w:val="00F04C82"/>
    <w:rsid w:val="00F23558"/>
    <w:rsid w:val="00F931A8"/>
    <w:rsid w:val="00FB4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3A42D9"/>
  <w15:chartTrackingRefBased/>
  <w15:docId w15:val="{9F6E9645-46C2-4671-9F9C-0CACA1AA9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5D0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C5D01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3C5D0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C5D01"/>
    <w:rPr>
      <w:sz w:val="24"/>
      <w:szCs w:val="24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D7611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61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3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prepare an abstract for ISCOM</vt:lpstr>
    </vt:vector>
  </TitlesOfParts>
  <Company>Grizli777</Company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subject/>
  <dc:creator>User</dc:creator>
  <cp:keywords/>
  <cp:lastModifiedBy>PC</cp:lastModifiedBy>
  <cp:revision>2</cp:revision>
  <cp:lastPrinted>2007-04-17T11:39:00Z</cp:lastPrinted>
  <dcterms:created xsi:type="dcterms:W3CDTF">2025-07-21T09:46:00Z</dcterms:created>
  <dcterms:modified xsi:type="dcterms:W3CDTF">2025-07-21T09:46:00Z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dc35672bcca9db0709714a0f380a680672d9c2fd5105a567e7e9fa5b3e5b06cc</vt:lpwstr>
  </property>
</Properties>
</file>