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AA4A8" w14:textId="77777777" w:rsidR="003272C1" w:rsidRPr="006A67DD" w:rsidRDefault="003272C1" w:rsidP="003272C1">
      <w:pPr>
        <w:spacing w:line="280" w:lineRule="exact"/>
        <w:contextualSpacing/>
        <w:jc w:val="center"/>
        <w:rPr>
          <w:rFonts w:ascii="Times New Roman" w:eastAsia="AdvOTea1a7398" w:hAnsi="Times New Roman"/>
          <w:b/>
          <w:bCs/>
          <w:kern w:val="0"/>
          <w:sz w:val="28"/>
          <w:szCs w:val="28"/>
        </w:rPr>
      </w:pPr>
      <w:r w:rsidRPr="006A67DD">
        <w:rPr>
          <w:rFonts w:ascii="Times New Roman" w:hAnsi="Times New Roman"/>
          <w:b/>
          <w:sz w:val="28"/>
          <w:szCs w:val="28"/>
          <w:shd w:val="clear" w:color="auto" w:fill="FFFFFF"/>
        </w:rPr>
        <w:t>Tissue optical clearing as an innovative means for optical imaging and phototherapy from UV to terahertz</w:t>
      </w:r>
    </w:p>
    <w:p w14:paraId="701BB4DE" w14:textId="77777777" w:rsidR="003272C1" w:rsidRDefault="003272C1" w:rsidP="003272C1">
      <w:pPr>
        <w:spacing w:line="280" w:lineRule="exact"/>
        <w:contextualSpacing/>
        <w:jc w:val="center"/>
        <w:rPr>
          <w:rFonts w:ascii="Times New Roman" w:eastAsia="AdvOTea1a7398" w:hAnsi="Times New Roman"/>
          <w:kern w:val="0"/>
          <w:szCs w:val="21"/>
        </w:rPr>
      </w:pPr>
    </w:p>
    <w:p w14:paraId="71F6A1CE" w14:textId="77777777" w:rsidR="003272C1" w:rsidRPr="006A67DD" w:rsidRDefault="003272C1" w:rsidP="003272C1">
      <w:pPr>
        <w:spacing w:line="280" w:lineRule="exact"/>
        <w:contextualSpacing/>
        <w:jc w:val="center"/>
        <w:rPr>
          <w:rFonts w:ascii="Times New Roman" w:eastAsia="AdvOTea1a7398" w:hAnsi="Times New Roman"/>
          <w:bCs/>
          <w:kern w:val="0"/>
          <w:sz w:val="22"/>
          <w:u w:val="single"/>
        </w:rPr>
      </w:pPr>
      <w:r w:rsidRPr="006A67DD">
        <w:rPr>
          <w:rFonts w:ascii="Times New Roman" w:eastAsia="AdvOTea1a7398" w:hAnsi="Times New Roman"/>
          <w:bCs/>
          <w:kern w:val="0"/>
          <w:sz w:val="22"/>
          <w:u w:val="single"/>
        </w:rPr>
        <w:t>V</w:t>
      </w:r>
      <w:r>
        <w:rPr>
          <w:rFonts w:ascii="Times New Roman" w:eastAsia="AdvOTea1a7398" w:hAnsi="Times New Roman"/>
          <w:bCs/>
          <w:kern w:val="0"/>
          <w:sz w:val="22"/>
          <w:u w:val="single"/>
        </w:rPr>
        <w:t xml:space="preserve">. </w:t>
      </w:r>
      <w:r w:rsidRPr="006A67DD">
        <w:rPr>
          <w:rFonts w:ascii="Times New Roman" w:eastAsia="AdvOTea1a7398" w:hAnsi="Times New Roman"/>
          <w:bCs/>
          <w:kern w:val="0"/>
          <w:sz w:val="22"/>
          <w:u w:val="single"/>
        </w:rPr>
        <w:t xml:space="preserve">V. </w:t>
      </w:r>
      <w:proofErr w:type="spellStart"/>
      <w:r w:rsidRPr="006A67DD">
        <w:rPr>
          <w:rFonts w:ascii="Times New Roman" w:eastAsia="AdvOTea1a7398" w:hAnsi="Times New Roman"/>
          <w:bCs/>
          <w:kern w:val="0"/>
          <w:sz w:val="22"/>
          <w:u w:val="single"/>
        </w:rPr>
        <w:t>Tuchin</w:t>
      </w:r>
      <w:proofErr w:type="spellEnd"/>
    </w:p>
    <w:p w14:paraId="1DAA511A" w14:textId="77777777" w:rsidR="003272C1" w:rsidRPr="006A67DD" w:rsidRDefault="003272C1" w:rsidP="003272C1">
      <w:pPr>
        <w:pStyle w:val="MDPI16affiliation"/>
        <w:spacing w:line="240" w:lineRule="auto"/>
        <w:ind w:left="0" w:firstLine="0"/>
        <w:jc w:val="center"/>
        <w:rPr>
          <w:rFonts w:asciiTheme="majorBidi" w:hAnsiTheme="majorBidi" w:cstheme="majorBidi"/>
          <w:i/>
          <w:sz w:val="20"/>
          <w:szCs w:val="20"/>
        </w:rPr>
      </w:pPr>
      <w:r w:rsidRPr="006A67DD">
        <w:rPr>
          <w:rFonts w:asciiTheme="majorBidi" w:hAnsiTheme="majorBidi" w:cstheme="majorBidi"/>
          <w:i/>
          <w:sz w:val="20"/>
          <w:szCs w:val="20"/>
        </w:rPr>
        <w:t>Institute of Physics and Science Medical Center, Saratov State University</w:t>
      </w:r>
    </w:p>
    <w:p w14:paraId="29F61043" w14:textId="77777777" w:rsidR="003272C1" w:rsidRPr="006A67DD" w:rsidRDefault="003272C1" w:rsidP="003272C1">
      <w:pPr>
        <w:pStyle w:val="MDPI16affiliation"/>
        <w:spacing w:line="240" w:lineRule="auto"/>
        <w:ind w:left="0" w:firstLine="0"/>
        <w:jc w:val="center"/>
        <w:rPr>
          <w:rFonts w:asciiTheme="majorBidi" w:hAnsiTheme="majorBidi" w:cstheme="majorBidi"/>
          <w:i/>
          <w:sz w:val="20"/>
          <w:szCs w:val="20"/>
        </w:rPr>
      </w:pPr>
      <w:r w:rsidRPr="006A67DD">
        <w:rPr>
          <w:rFonts w:asciiTheme="majorBidi" w:hAnsiTheme="majorBidi" w:cstheme="majorBidi"/>
          <w:i/>
          <w:color w:val="2C2D2E"/>
          <w:sz w:val="20"/>
          <w:szCs w:val="20"/>
          <w:shd w:val="clear" w:color="auto" w:fill="FFFFFF"/>
        </w:rPr>
        <w:t>Institute of Precision Mechanics and Control, FRS “Saratov Scientific Centre of the Russian Academy of Sciences”</w:t>
      </w:r>
    </w:p>
    <w:p w14:paraId="5FDAAE8F" w14:textId="77777777" w:rsidR="003272C1" w:rsidRPr="006A67DD" w:rsidRDefault="003272C1" w:rsidP="003272C1">
      <w:pPr>
        <w:pStyle w:val="MDPI16affiliation"/>
        <w:spacing w:line="240" w:lineRule="auto"/>
        <w:ind w:left="0" w:firstLine="0"/>
        <w:jc w:val="center"/>
        <w:rPr>
          <w:rFonts w:asciiTheme="majorBidi" w:hAnsiTheme="majorBidi" w:cstheme="majorBidi"/>
          <w:i/>
          <w:sz w:val="20"/>
          <w:szCs w:val="20"/>
        </w:rPr>
      </w:pPr>
      <w:r w:rsidRPr="006A67DD">
        <w:rPr>
          <w:rFonts w:asciiTheme="majorBidi" w:hAnsiTheme="majorBidi" w:cstheme="majorBidi"/>
          <w:i/>
          <w:sz w:val="20"/>
          <w:szCs w:val="20"/>
        </w:rPr>
        <w:t>Laboratory of Laser Molecular Imaging and Machine Learning, Tomsk State University, Russia</w:t>
      </w:r>
    </w:p>
    <w:p w14:paraId="63678415" w14:textId="77777777" w:rsidR="003272C1" w:rsidRDefault="003272C1" w:rsidP="003272C1">
      <w:pPr>
        <w:spacing w:line="280" w:lineRule="exact"/>
        <w:contextualSpacing/>
        <w:jc w:val="center"/>
        <w:rPr>
          <w:rFonts w:ascii="Times New Roman" w:eastAsia="AdvOTea1a7398" w:hAnsi="Times New Roman"/>
          <w:bCs/>
          <w:kern w:val="0"/>
          <w:sz w:val="20"/>
          <w:szCs w:val="20"/>
        </w:rPr>
      </w:pPr>
      <w:r>
        <w:rPr>
          <w:rFonts w:ascii="Times New Roman" w:eastAsia="AdvOTea1a7398" w:hAnsi="Times New Roman"/>
          <w:bCs/>
          <w:kern w:val="0"/>
          <w:sz w:val="20"/>
          <w:szCs w:val="20"/>
        </w:rPr>
        <w:t>e</w:t>
      </w:r>
      <w:r w:rsidRPr="006A67DD">
        <w:rPr>
          <w:rFonts w:ascii="Times New Roman" w:eastAsia="AdvOTea1a7398" w:hAnsi="Times New Roman" w:hint="eastAsia"/>
          <w:bCs/>
          <w:kern w:val="0"/>
          <w:sz w:val="20"/>
          <w:szCs w:val="20"/>
        </w:rPr>
        <w:t>mail:</w:t>
      </w:r>
      <w:r w:rsidRPr="006A67DD">
        <w:rPr>
          <w:rFonts w:ascii="Times New Roman" w:eastAsia="AdvOTea1a7398" w:hAnsi="Times New Roman"/>
          <w:bCs/>
          <w:kern w:val="0"/>
          <w:sz w:val="20"/>
          <w:szCs w:val="20"/>
        </w:rPr>
        <w:t xml:space="preserve"> </w:t>
      </w:r>
      <w:hyperlink r:id="rId4" w:history="1">
        <w:r w:rsidRPr="003272C1">
          <w:rPr>
            <w:rStyle w:val="Hyperlink"/>
            <w:rFonts w:ascii="Times New Roman" w:eastAsia="AdvOTea1a7398" w:hAnsi="Times New Roman" w:hint="eastAsia"/>
            <w:bCs/>
            <w:color w:val="auto"/>
            <w:kern w:val="0"/>
            <w:sz w:val="20"/>
            <w:szCs w:val="20"/>
            <w:u w:val="none"/>
          </w:rPr>
          <w:t>tuchinvv</w:t>
        </w:r>
        <w:r w:rsidRPr="003272C1">
          <w:rPr>
            <w:rStyle w:val="Hyperlink"/>
            <w:rFonts w:ascii="Times New Roman" w:eastAsia="AdvOTea1a7398" w:hAnsi="Times New Roman"/>
            <w:bCs/>
            <w:color w:val="auto"/>
            <w:kern w:val="0"/>
            <w:sz w:val="20"/>
            <w:szCs w:val="20"/>
            <w:u w:val="none"/>
          </w:rPr>
          <w:t>@mail.ru</w:t>
        </w:r>
      </w:hyperlink>
    </w:p>
    <w:p w14:paraId="1542F532" w14:textId="77777777" w:rsidR="003272C1" w:rsidRDefault="003272C1" w:rsidP="003272C1">
      <w:pPr>
        <w:ind w:firstLine="284"/>
        <w:contextualSpacing/>
        <w:rPr>
          <w:rFonts w:ascii="Times New Roman" w:eastAsia="AdvOTea1a7398" w:hAnsi="Times New Roman"/>
          <w:bCs/>
          <w:kern w:val="0"/>
          <w:sz w:val="20"/>
          <w:szCs w:val="20"/>
        </w:rPr>
      </w:pPr>
    </w:p>
    <w:p w14:paraId="44C5314B" w14:textId="77777777" w:rsidR="003272C1" w:rsidRDefault="003272C1" w:rsidP="003272C1">
      <w:pPr>
        <w:contextualSpacing/>
        <w:rPr>
          <w:sz w:val="22"/>
        </w:rPr>
      </w:pPr>
      <w:r w:rsidRPr="00BC01B8">
        <w:rPr>
          <w:rFonts w:ascii="Times New Roman" w:hAnsi="Times New Roman"/>
          <w:sz w:val="22"/>
        </w:rPr>
        <w:t>Tissue optical clearing (TOC) is based on temporary and reversible suppression of light scattering in tissues and organs using biocompatible immersion optical clearing agents (OCAs) [1-3]. Delivery of the appropriate OCA to living tissue ensures its temporal transparency over a wide spectral range from deep UV to THz, thereby providing higher image depth and contrast for optical techniques and better precision of phototherapy and laser surgery.</w:t>
      </w:r>
      <w:r w:rsidRPr="00BC01B8">
        <w:rPr>
          <w:sz w:val="22"/>
        </w:rPr>
        <w:t xml:space="preserve"> </w:t>
      </w:r>
    </w:p>
    <w:p w14:paraId="212A89C6" w14:textId="77777777" w:rsidR="003272C1" w:rsidRPr="00BC01B8" w:rsidRDefault="003272C1" w:rsidP="003272C1">
      <w:pPr>
        <w:contextualSpacing/>
        <w:rPr>
          <w:sz w:val="22"/>
        </w:rPr>
      </w:pPr>
    </w:p>
    <w:p w14:paraId="5C00D194" w14:textId="77777777" w:rsidR="003272C1" w:rsidRPr="00BC01B8" w:rsidRDefault="003272C1" w:rsidP="003272C1">
      <w:pPr>
        <w:pStyle w:val="NoSpacing"/>
        <w:jc w:val="both"/>
        <w:rPr>
          <w:rFonts w:ascii="Times New Roman" w:eastAsia="AdvOTea1a7398" w:hAnsi="Times New Roman"/>
          <w:lang w:val="en-US"/>
        </w:rPr>
      </w:pPr>
      <w:r w:rsidRPr="00BC01B8">
        <w:rPr>
          <w:rFonts w:ascii="Times New Roman" w:eastAsia="Times New Roman" w:hAnsi="Times New Roman"/>
          <w:lang w:val="en-US" w:eastAsia="en-US"/>
        </w:rPr>
        <w:t xml:space="preserve">The tutorial summarizes the fundamentals and latest advances in the development of the TOC method for solving problems of </w:t>
      </w:r>
      <w:r w:rsidRPr="00BC01B8">
        <w:rPr>
          <w:rFonts w:ascii="Times New Roman" w:hAnsi="Times New Roman"/>
          <w:lang w:val="en-US"/>
        </w:rPr>
        <w:t>intravital</w:t>
      </w:r>
      <w:r w:rsidRPr="00BC01B8">
        <w:rPr>
          <w:rFonts w:ascii="Times New Roman" w:eastAsia="Times New Roman" w:hAnsi="Times New Roman"/>
          <w:lang w:val="en-US" w:eastAsia="en-US"/>
        </w:rPr>
        <w:t xml:space="preserve"> optical imaging, diagnostics and therapy</w:t>
      </w:r>
      <w:bookmarkStart w:id="0" w:name="_Hlk172148748"/>
      <w:r w:rsidRPr="00BC01B8">
        <w:rPr>
          <w:rFonts w:ascii="Times New Roman" w:eastAsia="Times New Roman" w:hAnsi="Times New Roman"/>
          <w:lang w:val="en-US" w:eastAsia="en-US"/>
        </w:rPr>
        <w:t xml:space="preserve">. TOC can significantly improve advanced multimodal spectroscopy/imaging and phototherapy technologies. The combination of optical techniques with US, CT and MRI is possible through use of commercial coupling or contrast agents. The TOC method provides additional molecular diffusion markers for monitoring </w:t>
      </w:r>
      <w:r w:rsidRPr="00BC01B8">
        <w:rPr>
          <w:rFonts w:ascii="Times New Roman" w:eastAsia="Times New Roman" w:hAnsi="Times New Roman"/>
          <w:i/>
          <w:lang w:val="en-US" w:eastAsia="en-US"/>
        </w:rPr>
        <w:t>diabetes mellitus</w:t>
      </w:r>
      <w:r w:rsidRPr="00BC01B8">
        <w:rPr>
          <w:rFonts w:ascii="Times New Roman" w:eastAsia="Times New Roman" w:hAnsi="Times New Roman"/>
          <w:lang w:val="en-US" w:eastAsia="en-US"/>
        </w:rPr>
        <w:t xml:space="preserve"> com</w:t>
      </w:r>
      <w:bookmarkStart w:id="1" w:name="_Hlk172148931"/>
      <w:r w:rsidRPr="00BC01B8">
        <w:rPr>
          <w:rFonts w:ascii="Times New Roman" w:eastAsia="Times New Roman" w:hAnsi="Times New Roman"/>
          <w:lang w:val="en-US" w:eastAsia="en-US"/>
        </w:rPr>
        <w:t>plications and cancer detection, as well as gives important data for optimal cryopreservation of organs.</w:t>
      </w:r>
      <w:bookmarkEnd w:id="0"/>
      <w:bookmarkEnd w:id="1"/>
    </w:p>
    <w:p w14:paraId="2674F19C" w14:textId="77777777" w:rsidR="003272C1" w:rsidRPr="00BC01B8" w:rsidRDefault="003272C1" w:rsidP="003272C1">
      <w:pPr>
        <w:pStyle w:val="NoSpacing"/>
        <w:jc w:val="both"/>
        <w:rPr>
          <w:rFonts w:ascii="Times New Roman" w:eastAsia="AdvOTea1a7398" w:hAnsi="Times New Roman"/>
          <w:lang w:val="en-US"/>
        </w:rPr>
      </w:pPr>
    </w:p>
    <w:p w14:paraId="6F65B527" w14:textId="77777777" w:rsidR="003272C1" w:rsidRDefault="003272C1" w:rsidP="003272C1">
      <w:pPr>
        <w:pStyle w:val="NoSpacing"/>
        <w:jc w:val="both"/>
        <w:rPr>
          <w:rFonts w:ascii="Times New Roman" w:hAnsi="Times New Roman"/>
          <w:i/>
          <w:iCs/>
          <w:lang w:val="en-US"/>
        </w:rPr>
      </w:pPr>
      <w:r w:rsidRPr="00BC01B8">
        <w:rPr>
          <w:rFonts w:ascii="Times New Roman" w:eastAsia="AdvOTea1a7398" w:hAnsi="Times New Roman"/>
          <w:i/>
          <w:iCs/>
          <w:lang w:val="en-US"/>
        </w:rPr>
        <w:t>This work was supported by RSF grant</w:t>
      </w:r>
      <w:r w:rsidRPr="00BC01B8">
        <w:rPr>
          <w:rFonts w:ascii="Times New Roman" w:hAnsi="Times New Roman"/>
          <w:i/>
          <w:iCs/>
          <w:lang w:val="en-US"/>
        </w:rPr>
        <w:t xml:space="preserve"> № 24-44-00082.</w:t>
      </w:r>
    </w:p>
    <w:p w14:paraId="6C285B52" w14:textId="77777777" w:rsidR="003272C1" w:rsidRPr="00BC01B8" w:rsidRDefault="003272C1" w:rsidP="003272C1">
      <w:pPr>
        <w:pStyle w:val="NoSpacing"/>
        <w:jc w:val="both"/>
        <w:rPr>
          <w:rFonts w:ascii="Times New Roman" w:hAnsi="Times New Roman"/>
          <w:i/>
          <w:iCs/>
          <w:lang w:val="en-US"/>
        </w:rPr>
      </w:pPr>
    </w:p>
    <w:p w14:paraId="2BE37DF3" w14:textId="77777777" w:rsidR="003272C1" w:rsidRPr="00BC01B8" w:rsidRDefault="003272C1" w:rsidP="003272C1">
      <w:pPr>
        <w:pStyle w:val="NoSpacing"/>
        <w:jc w:val="both"/>
        <w:rPr>
          <w:rFonts w:ascii="Times New Roman" w:eastAsia="AdvOTea1a7398" w:hAnsi="Times New Roman"/>
          <w:szCs w:val="21"/>
          <w:lang w:val="en-US"/>
        </w:rPr>
      </w:pPr>
      <w:r>
        <w:rPr>
          <w:rFonts w:ascii="Times New Roman" w:eastAsia="AdvOTea1a7398" w:hAnsi="Times New Roman"/>
          <w:szCs w:val="21"/>
          <w:lang w:val="en-US"/>
        </w:rPr>
        <w:t>REFERENCES:</w:t>
      </w:r>
    </w:p>
    <w:p w14:paraId="51639297" w14:textId="77777777" w:rsidR="003272C1" w:rsidRPr="00BC01B8" w:rsidRDefault="003272C1" w:rsidP="003272C1">
      <w:pPr>
        <w:pStyle w:val="NoSpacing"/>
        <w:jc w:val="both"/>
        <w:rPr>
          <w:rFonts w:ascii="Times New Roman" w:hAnsi="Times New Roman"/>
          <w:lang w:val="en-US"/>
        </w:rPr>
      </w:pPr>
      <w:r>
        <w:rPr>
          <w:rFonts w:ascii="Times New Roman" w:hAnsi="Times New Roman"/>
          <w:lang w:val="en-US"/>
        </w:rPr>
        <w:t>[</w:t>
      </w:r>
      <w:r w:rsidRPr="00BC01B8">
        <w:rPr>
          <w:rFonts w:ascii="Times New Roman" w:hAnsi="Times New Roman"/>
          <w:lang w:val="en-US"/>
        </w:rPr>
        <w:t>1</w:t>
      </w:r>
      <w:r>
        <w:rPr>
          <w:rFonts w:ascii="Times New Roman" w:hAnsi="Times New Roman"/>
          <w:lang w:val="en-US"/>
        </w:rPr>
        <w:t>]</w:t>
      </w:r>
      <w:r w:rsidRPr="00BC01B8">
        <w:rPr>
          <w:rFonts w:ascii="Times New Roman" w:hAnsi="Times New Roman"/>
          <w:lang w:val="en-US"/>
        </w:rPr>
        <w:t xml:space="preserve"> L. Oliveira and V.V. </w:t>
      </w:r>
      <w:proofErr w:type="spellStart"/>
      <w:r w:rsidRPr="00BC01B8">
        <w:rPr>
          <w:rFonts w:ascii="Times New Roman" w:hAnsi="Times New Roman"/>
          <w:lang w:val="en-US"/>
        </w:rPr>
        <w:t>Tuchin</w:t>
      </w:r>
      <w:proofErr w:type="spellEnd"/>
      <w:r w:rsidRPr="00BC01B8">
        <w:rPr>
          <w:rFonts w:ascii="Times New Roman" w:hAnsi="Times New Roman"/>
          <w:lang w:val="en-US"/>
        </w:rPr>
        <w:t xml:space="preserve">, </w:t>
      </w:r>
      <w:r w:rsidRPr="00BC01B8">
        <w:rPr>
          <w:rFonts w:ascii="Times New Roman" w:hAnsi="Times New Roman"/>
          <w:i/>
          <w:lang w:val="en-US"/>
        </w:rPr>
        <w:t>The Optical Clearing Method: A New Tool for Clinical Practice and Biomedical Engineering</w:t>
      </w:r>
      <w:r w:rsidRPr="00BC01B8">
        <w:rPr>
          <w:rFonts w:ascii="Times New Roman" w:hAnsi="Times New Roman"/>
          <w:lang w:val="en-US"/>
        </w:rPr>
        <w:t xml:space="preserve">, Basel: Springer Nature Switzerland AG, 2019. </w:t>
      </w:r>
    </w:p>
    <w:p w14:paraId="73FB9759" w14:textId="77777777" w:rsidR="003272C1" w:rsidRPr="00BC01B8" w:rsidRDefault="003272C1" w:rsidP="003272C1">
      <w:pPr>
        <w:pStyle w:val="NoSpacing"/>
        <w:jc w:val="both"/>
        <w:rPr>
          <w:rFonts w:ascii="Times New Roman" w:hAnsi="Times New Roman"/>
          <w:lang w:val="en-US"/>
        </w:rPr>
      </w:pPr>
      <w:r>
        <w:rPr>
          <w:rFonts w:ascii="Times New Roman" w:hAnsi="Times New Roman"/>
          <w:lang w:val="en-US"/>
        </w:rPr>
        <w:t>[</w:t>
      </w:r>
      <w:r w:rsidRPr="00BC01B8">
        <w:rPr>
          <w:rFonts w:ascii="Times New Roman" w:hAnsi="Times New Roman"/>
          <w:lang w:val="en-US"/>
        </w:rPr>
        <w:t>2</w:t>
      </w:r>
      <w:r>
        <w:rPr>
          <w:rFonts w:ascii="Times New Roman" w:hAnsi="Times New Roman"/>
          <w:lang w:val="en-US"/>
        </w:rPr>
        <w:t>]</w:t>
      </w:r>
      <w:r w:rsidRPr="00BC01B8">
        <w:rPr>
          <w:rFonts w:ascii="Times New Roman" w:hAnsi="Times New Roman"/>
          <w:lang w:val="en-US"/>
        </w:rPr>
        <w:t xml:space="preserve"> V.V. </w:t>
      </w:r>
      <w:proofErr w:type="spellStart"/>
      <w:r w:rsidRPr="00BC01B8">
        <w:rPr>
          <w:rFonts w:ascii="Times New Roman" w:hAnsi="Times New Roman"/>
          <w:lang w:val="en-US"/>
        </w:rPr>
        <w:t>Tuchin</w:t>
      </w:r>
      <w:proofErr w:type="spellEnd"/>
      <w:r w:rsidRPr="00BC01B8">
        <w:rPr>
          <w:rFonts w:ascii="Times New Roman" w:hAnsi="Times New Roman"/>
          <w:lang w:val="en-US"/>
        </w:rPr>
        <w:t xml:space="preserve">, D. Zhu, E.A. Genina (Eds.), </w:t>
      </w:r>
      <w:r w:rsidRPr="00BC01B8">
        <w:rPr>
          <w:rFonts w:ascii="Times New Roman" w:hAnsi="Times New Roman"/>
          <w:i/>
          <w:lang w:val="en-US"/>
        </w:rPr>
        <w:t>Handbook of Tissue Optical Clearing: New Prospects in Optical Imaging</w:t>
      </w:r>
      <w:r w:rsidRPr="00BC01B8">
        <w:rPr>
          <w:rFonts w:ascii="Times New Roman" w:hAnsi="Times New Roman"/>
          <w:lang w:val="en-US"/>
        </w:rPr>
        <w:t>, CRC Press, Boca Raton, FL, 2022.</w:t>
      </w:r>
    </w:p>
    <w:p w14:paraId="15EA3223" w14:textId="77777777" w:rsidR="003272C1" w:rsidRDefault="003272C1" w:rsidP="003272C1">
      <w:pPr>
        <w:pStyle w:val="NoSpacing"/>
        <w:jc w:val="both"/>
        <w:rPr>
          <w:rFonts w:ascii="Times New Roman" w:hAnsi="Times New Roman"/>
          <w:lang w:val="en-US"/>
        </w:rPr>
      </w:pPr>
      <w:r>
        <w:rPr>
          <w:rFonts w:ascii="Times New Roman" w:hAnsi="Times New Roman"/>
          <w:lang w:val="en-US"/>
        </w:rPr>
        <w:t>[3]</w:t>
      </w:r>
      <w:r w:rsidRPr="00BC01B8">
        <w:rPr>
          <w:rFonts w:ascii="Times New Roman" w:hAnsi="Times New Roman"/>
          <w:lang w:val="en-US"/>
        </w:rPr>
        <w:t xml:space="preserve"> D. Zhu, V.V. </w:t>
      </w:r>
      <w:proofErr w:type="spellStart"/>
      <w:r w:rsidRPr="00BC01B8">
        <w:rPr>
          <w:rFonts w:ascii="Times New Roman" w:hAnsi="Times New Roman"/>
          <w:lang w:val="en-US"/>
        </w:rPr>
        <w:t>Tuchin</w:t>
      </w:r>
      <w:proofErr w:type="spellEnd"/>
      <w:r w:rsidRPr="00BC01B8">
        <w:rPr>
          <w:rFonts w:ascii="Times New Roman" w:hAnsi="Times New Roman"/>
          <w:lang w:val="en-US"/>
        </w:rPr>
        <w:t xml:space="preserve">, Tissue optical clearing imaging from </w:t>
      </w:r>
      <w:r w:rsidRPr="00BC01B8">
        <w:rPr>
          <w:rFonts w:ascii="Times New Roman" w:hAnsi="Times New Roman"/>
          <w:i/>
          <w:lang w:val="en-US"/>
        </w:rPr>
        <w:t>ex vivo</w:t>
      </w:r>
      <w:r w:rsidRPr="00BC01B8">
        <w:rPr>
          <w:rFonts w:ascii="Times New Roman" w:hAnsi="Times New Roman"/>
          <w:lang w:val="en-US"/>
        </w:rPr>
        <w:t xml:space="preserve"> toward </w:t>
      </w:r>
      <w:r w:rsidRPr="00BC01B8">
        <w:rPr>
          <w:rFonts w:ascii="Times New Roman" w:hAnsi="Times New Roman"/>
          <w:i/>
          <w:lang w:val="en-US"/>
        </w:rPr>
        <w:t>in vivo</w:t>
      </w:r>
      <w:r w:rsidRPr="00BC01B8">
        <w:rPr>
          <w:rFonts w:ascii="Times New Roman" w:hAnsi="Times New Roman"/>
          <w:lang w:val="en-US"/>
        </w:rPr>
        <w:t xml:space="preserve">, </w:t>
      </w:r>
      <w:r w:rsidRPr="00BC01B8">
        <w:rPr>
          <w:rFonts w:ascii="Times New Roman" w:hAnsi="Times New Roman"/>
          <w:i/>
          <w:lang w:val="en-US"/>
        </w:rPr>
        <w:t>BME Front.</w:t>
      </w:r>
      <w:r w:rsidRPr="00BC01B8">
        <w:rPr>
          <w:rFonts w:ascii="Times New Roman" w:hAnsi="Times New Roman"/>
          <w:lang w:val="en-US"/>
        </w:rPr>
        <w:t xml:space="preserve"> </w:t>
      </w:r>
      <w:r w:rsidRPr="00BC01B8">
        <w:rPr>
          <w:rFonts w:ascii="Times New Roman" w:hAnsi="Times New Roman"/>
          <w:b/>
        </w:rPr>
        <w:t>5</w:t>
      </w:r>
      <w:r w:rsidRPr="00BC01B8">
        <w:rPr>
          <w:rFonts w:ascii="Times New Roman" w:hAnsi="Times New Roman"/>
        </w:rPr>
        <w:t>, 0058 (2024).</w:t>
      </w:r>
    </w:p>
    <w:p w14:paraId="37B97222" w14:textId="77777777" w:rsidR="009F1A2E" w:rsidRDefault="009F1A2E"/>
    <w:sectPr w:rsidR="009F1A2E" w:rsidSect="003272C1">
      <w:pgSz w:w="11906" w:h="16838" w:code="9"/>
      <w:pgMar w:top="1018" w:right="851" w:bottom="1418" w:left="1418" w:header="283"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vOTea1a7398">
    <w:altName w:val="SimSun"/>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5"/>
  <w:drawingGridVerticalSpacing w:val="15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1C380B"/>
    <w:rsid w:val="00225236"/>
    <w:rsid w:val="003272C1"/>
    <w:rsid w:val="008B089B"/>
    <w:rsid w:val="009F1A2E"/>
    <w:rsid w:val="00B65147"/>
    <w:rsid w:val="00C45A75"/>
    <w:rsid w:val="00CA3162"/>
    <w:rsid w:val="00ED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487C"/>
  <w15:chartTrackingRefBased/>
  <w15:docId w15:val="{4E63F879-25F5-4074-867C-1F314FEA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2C1"/>
    <w:pPr>
      <w:widowControl w:val="0"/>
      <w:spacing w:after="0" w:line="240" w:lineRule="auto"/>
      <w:jc w:val="both"/>
    </w:pPr>
    <w:rPr>
      <w:rFonts w:ascii="Calibri" w:eastAsia="SimSun" w:hAnsi="Calibri" w:cs="Times New Roman"/>
      <w:sz w:val="21"/>
      <w:szCs w:val="22"/>
      <w:lang w:eastAsia="zh-CN"/>
      <w14:ligatures w14:val="none"/>
    </w:rPr>
  </w:style>
  <w:style w:type="paragraph" w:styleId="Heading1">
    <w:name w:val="heading 1"/>
    <w:basedOn w:val="Normal"/>
    <w:next w:val="Normal"/>
    <w:link w:val="Heading1Char"/>
    <w:uiPriority w:val="9"/>
    <w:qFormat/>
    <w:rsid w:val="003272C1"/>
    <w:pPr>
      <w:keepNext/>
      <w:keepLines/>
      <w:widowControl/>
      <w:spacing w:before="360" w:after="80" w:line="278" w:lineRule="auto"/>
      <w:jc w:val="left"/>
      <w:outlineLvl w:val="0"/>
    </w:pPr>
    <w:rPr>
      <w:rFonts w:asciiTheme="majorHAnsi" w:eastAsiaTheme="majorEastAsia" w:hAnsiTheme="majorHAnsi" w:cstheme="majorBidi"/>
      <w:color w:val="2F5496" w:themeColor="accent1" w:themeShade="BF"/>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272C1"/>
    <w:pPr>
      <w:keepNext/>
      <w:keepLines/>
      <w:widowControl/>
      <w:spacing w:before="160" w:after="80" w:line="278" w:lineRule="auto"/>
      <w:jc w:val="left"/>
      <w:outlineLvl w:val="1"/>
    </w:pPr>
    <w:rPr>
      <w:rFonts w:asciiTheme="majorHAnsi" w:eastAsiaTheme="majorEastAsia" w:hAnsiTheme="majorHAnsi" w:cstheme="majorBidi"/>
      <w:color w:val="2F5496" w:themeColor="accent1" w:themeShade="BF"/>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272C1"/>
    <w:pPr>
      <w:keepNext/>
      <w:keepLines/>
      <w:widowControl/>
      <w:spacing w:before="160" w:after="80" w:line="278" w:lineRule="auto"/>
      <w:jc w:val="left"/>
      <w:outlineLvl w:val="2"/>
    </w:pPr>
    <w:rPr>
      <w:rFonts w:asciiTheme="minorHAnsi" w:eastAsiaTheme="majorEastAsia" w:hAnsiTheme="minorHAnsi" w:cstheme="majorBidi"/>
      <w:color w:val="2F5496" w:themeColor="accent1" w:themeShade="BF"/>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272C1"/>
    <w:pPr>
      <w:keepNext/>
      <w:keepLines/>
      <w:widowControl/>
      <w:spacing w:before="80" w:after="40" w:line="278" w:lineRule="auto"/>
      <w:jc w:val="left"/>
      <w:outlineLvl w:val="3"/>
    </w:pPr>
    <w:rPr>
      <w:rFonts w:asciiTheme="minorHAnsi" w:eastAsiaTheme="majorEastAsia" w:hAnsiTheme="minorHAnsi" w:cstheme="majorBidi"/>
      <w:i/>
      <w:iCs/>
      <w:color w:val="2F5496" w:themeColor="accent1" w:themeShade="BF"/>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3272C1"/>
    <w:pPr>
      <w:keepNext/>
      <w:keepLines/>
      <w:widowControl/>
      <w:spacing w:before="80" w:after="40" w:line="278" w:lineRule="auto"/>
      <w:jc w:val="left"/>
      <w:outlineLvl w:val="4"/>
    </w:pPr>
    <w:rPr>
      <w:rFonts w:asciiTheme="minorHAnsi" w:eastAsiaTheme="majorEastAsia" w:hAnsiTheme="minorHAnsi" w:cstheme="majorBidi"/>
      <w:color w:val="2F5496" w:themeColor="accent1" w:themeShade="BF"/>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3272C1"/>
    <w:pPr>
      <w:keepNext/>
      <w:keepLines/>
      <w:widowControl/>
      <w:spacing w:before="40" w:line="278" w:lineRule="auto"/>
      <w:jc w:val="left"/>
      <w:outlineLvl w:val="5"/>
    </w:pPr>
    <w:rPr>
      <w:rFonts w:asciiTheme="minorHAnsi" w:eastAsiaTheme="majorEastAsia" w:hAnsiTheme="minorHAnsi" w:cstheme="majorBidi"/>
      <w:i/>
      <w:iCs/>
      <w:color w:val="595959" w:themeColor="text1" w:themeTint="A6"/>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3272C1"/>
    <w:pPr>
      <w:keepNext/>
      <w:keepLines/>
      <w:widowControl/>
      <w:spacing w:before="40" w:line="278" w:lineRule="auto"/>
      <w:jc w:val="left"/>
      <w:outlineLvl w:val="6"/>
    </w:pPr>
    <w:rPr>
      <w:rFonts w:asciiTheme="minorHAnsi" w:eastAsiaTheme="majorEastAsia" w:hAnsiTheme="minorHAnsi" w:cstheme="majorBidi"/>
      <w:color w:val="595959" w:themeColor="text1" w:themeTint="A6"/>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3272C1"/>
    <w:pPr>
      <w:keepNext/>
      <w:keepLines/>
      <w:widowControl/>
      <w:spacing w:line="278" w:lineRule="auto"/>
      <w:jc w:val="left"/>
      <w:outlineLvl w:val="7"/>
    </w:pPr>
    <w:rPr>
      <w:rFonts w:asciiTheme="minorHAnsi" w:eastAsiaTheme="majorEastAsia" w:hAnsiTheme="minorHAnsi" w:cstheme="majorBidi"/>
      <w:i/>
      <w:iCs/>
      <w:color w:val="272727" w:themeColor="text1" w:themeTint="D8"/>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3272C1"/>
    <w:pPr>
      <w:keepNext/>
      <w:keepLines/>
      <w:widowControl/>
      <w:spacing w:line="278" w:lineRule="auto"/>
      <w:jc w:val="left"/>
      <w:outlineLvl w:val="8"/>
    </w:pPr>
    <w:rPr>
      <w:rFonts w:asciiTheme="minorHAnsi" w:eastAsiaTheme="majorEastAsia" w:hAnsiTheme="minorHAnsi" w:cstheme="majorBidi"/>
      <w:color w:val="272727" w:themeColor="text1" w:themeTint="D8"/>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2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72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72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72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72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7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2C1"/>
    <w:rPr>
      <w:rFonts w:eastAsiaTheme="majorEastAsia" w:cstheme="majorBidi"/>
      <w:color w:val="272727" w:themeColor="text1" w:themeTint="D8"/>
    </w:rPr>
  </w:style>
  <w:style w:type="paragraph" w:styleId="Title">
    <w:name w:val="Title"/>
    <w:basedOn w:val="Normal"/>
    <w:next w:val="Normal"/>
    <w:link w:val="TitleChar"/>
    <w:uiPriority w:val="10"/>
    <w:qFormat/>
    <w:rsid w:val="003272C1"/>
    <w:pPr>
      <w:widowControl/>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27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2C1"/>
    <w:pPr>
      <w:widowControl/>
      <w:numPr>
        <w:ilvl w:val="1"/>
      </w:numPr>
      <w:spacing w:after="160" w:line="278" w:lineRule="auto"/>
      <w:jc w:val="left"/>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SubtitleChar">
    <w:name w:val="Subtitle Char"/>
    <w:basedOn w:val="DefaultParagraphFont"/>
    <w:link w:val="Subtitle"/>
    <w:uiPriority w:val="11"/>
    <w:rsid w:val="00327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2C1"/>
    <w:pPr>
      <w:widowControl/>
      <w:spacing w:before="160" w:after="160" w:line="278" w:lineRule="auto"/>
      <w:jc w:val="center"/>
    </w:pPr>
    <w:rPr>
      <w:rFonts w:asciiTheme="minorHAnsi" w:eastAsiaTheme="minorHAnsi" w:hAnsiTheme="minorHAnsi" w:cstheme="minorBidi"/>
      <w:i/>
      <w:iCs/>
      <w:color w:val="404040" w:themeColor="text1" w:themeTint="BF"/>
      <w:sz w:val="24"/>
      <w:szCs w:val="24"/>
      <w:lang w:eastAsia="en-US"/>
      <w14:ligatures w14:val="standardContextual"/>
    </w:rPr>
  </w:style>
  <w:style w:type="character" w:customStyle="1" w:styleId="QuoteChar">
    <w:name w:val="Quote Char"/>
    <w:basedOn w:val="DefaultParagraphFont"/>
    <w:link w:val="Quote"/>
    <w:uiPriority w:val="29"/>
    <w:rsid w:val="003272C1"/>
    <w:rPr>
      <w:i/>
      <w:iCs/>
      <w:color w:val="404040" w:themeColor="text1" w:themeTint="BF"/>
    </w:rPr>
  </w:style>
  <w:style w:type="paragraph" w:styleId="ListParagraph">
    <w:name w:val="List Paragraph"/>
    <w:basedOn w:val="Normal"/>
    <w:uiPriority w:val="34"/>
    <w:qFormat/>
    <w:rsid w:val="003272C1"/>
    <w:pPr>
      <w:widowControl/>
      <w:spacing w:after="160" w:line="278" w:lineRule="auto"/>
      <w:ind w:left="720"/>
      <w:contextualSpacing/>
      <w:jc w:val="left"/>
    </w:pPr>
    <w:rPr>
      <w:rFonts w:asciiTheme="minorHAnsi" w:eastAsiaTheme="minorHAnsi" w:hAnsiTheme="minorHAnsi" w:cstheme="minorBidi"/>
      <w:sz w:val="24"/>
      <w:szCs w:val="24"/>
      <w:lang w:eastAsia="en-US"/>
      <w14:ligatures w14:val="standardContextual"/>
    </w:rPr>
  </w:style>
  <w:style w:type="character" w:styleId="IntenseEmphasis">
    <w:name w:val="Intense Emphasis"/>
    <w:basedOn w:val="DefaultParagraphFont"/>
    <w:uiPriority w:val="21"/>
    <w:qFormat/>
    <w:rsid w:val="003272C1"/>
    <w:rPr>
      <w:i/>
      <w:iCs/>
      <w:color w:val="2F5496" w:themeColor="accent1" w:themeShade="BF"/>
    </w:rPr>
  </w:style>
  <w:style w:type="paragraph" w:styleId="IntenseQuote">
    <w:name w:val="Intense Quote"/>
    <w:basedOn w:val="Normal"/>
    <w:next w:val="Normal"/>
    <w:link w:val="IntenseQuoteChar"/>
    <w:uiPriority w:val="30"/>
    <w:qFormat/>
    <w:rsid w:val="003272C1"/>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lang w:eastAsia="en-US"/>
      <w14:ligatures w14:val="standardContextual"/>
    </w:rPr>
  </w:style>
  <w:style w:type="character" w:customStyle="1" w:styleId="IntenseQuoteChar">
    <w:name w:val="Intense Quote Char"/>
    <w:basedOn w:val="DefaultParagraphFont"/>
    <w:link w:val="IntenseQuote"/>
    <w:uiPriority w:val="30"/>
    <w:rsid w:val="003272C1"/>
    <w:rPr>
      <w:i/>
      <w:iCs/>
      <w:color w:val="2F5496" w:themeColor="accent1" w:themeShade="BF"/>
    </w:rPr>
  </w:style>
  <w:style w:type="character" w:styleId="IntenseReference">
    <w:name w:val="Intense Reference"/>
    <w:basedOn w:val="DefaultParagraphFont"/>
    <w:uiPriority w:val="32"/>
    <w:qFormat/>
    <w:rsid w:val="003272C1"/>
    <w:rPr>
      <w:b/>
      <w:bCs/>
      <w:smallCaps/>
      <w:color w:val="2F5496" w:themeColor="accent1" w:themeShade="BF"/>
      <w:spacing w:val="5"/>
    </w:rPr>
  </w:style>
  <w:style w:type="paragraph" w:customStyle="1" w:styleId="MDPI16affiliation">
    <w:name w:val="MDPI_1.6_affiliation"/>
    <w:qFormat/>
    <w:rsid w:val="003272C1"/>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styleId="NoSpacing">
    <w:name w:val="No Spacing"/>
    <w:uiPriority w:val="1"/>
    <w:qFormat/>
    <w:rsid w:val="003272C1"/>
    <w:pPr>
      <w:spacing w:after="0" w:line="240" w:lineRule="auto"/>
    </w:pPr>
    <w:rPr>
      <w:rFonts w:ascii="Calibri" w:eastAsia="Calibri" w:hAnsi="Calibri" w:cs="Times New Roman"/>
      <w:kern w:val="0"/>
      <w:sz w:val="22"/>
      <w:szCs w:val="22"/>
      <w:lang w:val="ru-RU" w:eastAsia="ru-RU"/>
      <w14:ligatures w14:val="none"/>
    </w:rPr>
  </w:style>
  <w:style w:type="character" w:styleId="Hyperlink">
    <w:name w:val="Hyperlink"/>
    <w:basedOn w:val="DefaultParagraphFont"/>
    <w:uiPriority w:val="99"/>
    <w:unhideWhenUsed/>
    <w:rsid w:val="003272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chinv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2025-07-28T10:13:00Z</dcterms:created>
  <dcterms:modified xsi:type="dcterms:W3CDTF">2025-07-28T10:14:00Z</dcterms:modified>
</cp:coreProperties>
</file>