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The nonlinear Talbot effect of counterpropagating rogue waves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  <w:u w:val="single"/>
        </w:rPr>
        <w:t xml:space="preserve">M. </w:t>
      </w:r>
      <w:r>
        <w:rPr>
          <w:sz w:val="22"/>
          <w:szCs w:val="22"/>
          <w:u w:val="single"/>
          <w:lang w:val="sr-Latn-ME"/>
        </w:rPr>
        <w:t>Petrović</w:t>
      </w:r>
      <w:r>
        <w:rPr>
          <w:sz w:val="16"/>
          <w:szCs w:val="16"/>
          <w:vertAlign w:val="superscript"/>
          <w:lang w:val="sr-Latn-ME"/>
        </w:rPr>
        <w:t>1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none"/>
        </w:rPr>
        <w:t xml:space="preserve">A. </w:t>
      </w:r>
      <w:r>
        <w:rPr>
          <w:sz w:val="22"/>
          <w:szCs w:val="22"/>
          <w:u w:val="none"/>
          <w:lang w:val="sr-Latn-ME"/>
        </w:rPr>
        <w:t>Strinić</w:t>
      </w:r>
      <w:r>
        <w:rPr>
          <w:sz w:val="16"/>
          <w:szCs w:val="16"/>
          <w:u w:val="none"/>
          <w:vertAlign w:val="superscript"/>
          <w:lang w:val="sr-Latn-ME"/>
        </w:rPr>
        <w:t>1</w:t>
      </w:r>
      <w:r>
        <w:rPr>
          <w:sz w:val="22"/>
          <w:szCs w:val="22"/>
        </w:rPr>
        <w:t>, N.</w:t>
      </w:r>
      <w:r>
        <w:rPr>
          <w:sz w:val="22"/>
          <w:szCs w:val="22"/>
          <w:u w:val="none"/>
          <w:lang w:val="sr-Latn-ME"/>
        </w:rPr>
        <w:t xml:space="preserve"> Petrović</w:t>
      </w:r>
      <w:r>
        <w:rPr>
          <w:sz w:val="16"/>
          <w:szCs w:val="16"/>
          <w:vertAlign w:val="superscript"/>
          <w:lang w:val="sr-Latn-ME"/>
        </w:rPr>
        <w:t>2</w:t>
      </w:r>
      <w:r>
        <w:rPr>
          <w:sz w:val="16"/>
          <w:szCs w:val="16"/>
          <w:vertAlign w:val="superscript"/>
        </w:rPr>
        <w:t xml:space="preserve">  </w:t>
      </w:r>
      <w:r>
        <w:rPr>
          <w:sz w:val="22"/>
          <w:szCs w:val="22"/>
        </w:rPr>
        <w:t>and M.</w:t>
      </w:r>
      <w:r>
        <w:rPr>
          <w:sz w:val="22"/>
          <w:szCs w:val="22"/>
          <w:lang w:val="sr-Latn-ME"/>
        </w:rPr>
        <w:t xml:space="preserve"> Belić</w:t>
      </w:r>
      <w:r>
        <w:rPr>
          <w:sz w:val="16"/>
          <w:szCs w:val="16"/>
          <w:vertAlign w:val="superscript"/>
          <w:lang w:val="sr-Latn-ME"/>
        </w:rPr>
        <w:t>3</w:t>
      </w:r>
      <w:r>
        <w:rPr>
          <w:sz w:val="16"/>
          <w:szCs w:val="16"/>
          <w:vertAlign w:val="superscript"/>
        </w:rPr>
        <w:t xml:space="preserve"> </w:t>
      </w:r>
    </w:p>
    <w:p>
      <w:pPr>
        <w:pStyle w:val="Normal"/>
        <w:jc w:val="center"/>
        <w:rPr/>
      </w:pPr>
      <w:r>
        <w:rPr>
          <w:sz w:val="14"/>
          <w:szCs w:val="14"/>
          <w:vertAlign w:val="superscript"/>
        </w:rPr>
        <w:t>1</w:t>
      </w:r>
      <w:r>
        <w:rPr>
          <w:rFonts w:cs="Times New Roman"/>
          <w:i/>
          <w:iCs/>
          <w:color w:themeColor="dark1" w:val="000000"/>
          <w:sz w:val="20"/>
          <w:szCs w:val="20"/>
        </w:rPr>
        <w:t xml:space="preserve">Institute of Physics, University of Belgrade, P.O. Box 68, 11080 Belgrade, Serbia </w:t>
      </w:r>
    </w:p>
    <w:p>
      <w:pPr>
        <w:pStyle w:val="Normal"/>
        <w:jc w:val="center"/>
        <w:rPr/>
      </w:pPr>
      <w:r>
        <w:rPr>
          <w:sz w:val="14"/>
          <w:szCs w:val="14"/>
          <w:vertAlign w:val="superscript"/>
        </w:rPr>
        <w:t>2</w:t>
      </w:r>
      <w:r>
        <w:rPr>
          <w:b w:val="false"/>
          <w:i/>
          <w:iCs/>
          <w:caps w:val="false"/>
          <w:smallCaps w:val="false"/>
          <w:color w:val="212529"/>
          <w:spacing w:val="0"/>
          <w:sz w:val="20"/>
          <w:szCs w:val="20"/>
        </w:rPr>
        <w:t>Mathematical Grammar School (MGS)</w:t>
      </w:r>
      <w:r>
        <w:rPr>
          <w:i/>
          <w:iCs/>
          <w:sz w:val="20"/>
          <w:szCs w:val="20"/>
        </w:rPr>
        <w:t xml:space="preserve">, </w:t>
      </w:r>
      <w:r>
        <w:rPr>
          <w:b w:val="false"/>
          <w:i/>
          <w:iCs/>
          <w:caps w:val="false"/>
          <w:smallCaps w:val="false"/>
          <w:color w:val="212529"/>
          <w:spacing w:val="0"/>
          <w:sz w:val="20"/>
          <w:szCs w:val="20"/>
        </w:rPr>
        <w:t>Kraljice Natalije 37, 11000 Belgrade, Serbia</w:t>
      </w:r>
    </w:p>
    <w:p>
      <w:pPr>
        <w:pStyle w:val="Normal"/>
        <w:jc w:val="center"/>
        <w:rPr/>
      </w:pPr>
      <w:r>
        <w:rPr>
          <w:sz w:val="14"/>
          <w:szCs w:val="14"/>
          <w:vertAlign w:val="superscript"/>
        </w:rPr>
        <w:t>3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College of Sciences and Engineering, Hamad Bin Khalifa University, 23874 Doha, Qatar</w:t>
      </w:r>
      <w:r>
        <w:rPr/>
        <w:br/>
      </w:r>
      <w:r>
        <w:rPr>
          <w:sz w:val="20"/>
          <w:szCs w:val="20"/>
        </w:rPr>
        <w:t>e-mail: petrovic@ipb.ac.rs</w:t>
      </w:r>
    </w:p>
    <w:p>
      <w:pPr>
        <w:pStyle w:val="Normal"/>
        <w:ind w:firstLine="284" w:end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Talbot effect (TE) is an image recurrence phenomenon manifested by a periodic repetition of planar field distributions in some types of wave fields [1]. The nonlinear TE of rogue waves was demonstrated in [2, 3]. Here, we investigated numerically mutual interaction of two Ahkmediev-like breathers travelling in the opposite directions. Ahkmediev breathers (ABs) can be used to model rogue waves because they </w:t>
      </w:r>
      <w:r>
        <w:rPr>
          <w:rFonts w:cs="Times New Roman"/>
          <w:sz w:val="22"/>
          <w:szCs w:val="22"/>
          <w:lang w:val="en-US"/>
        </w:rPr>
        <w:t xml:space="preserve">are one of the solutions of the </w:t>
      </w:r>
      <w:r>
        <w:rPr>
          <w:rFonts w:cs="Times New Roman"/>
          <w:sz w:val="22"/>
          <w:szCs w:val="22"/>
        </w:rPr>
        <w:t xml:space="preserve">cubic nonlinear Schrӧdinger equation (NLSE). We </w:t>
      </w:r>
      <w:r>
        <w:rPr>
          <w:rFonts w:cs="Times New Roman"/>
          <w:sz w:val="22"/>
          <w:szCs w:val="22"/>
          <w:lang w:val="en-US"/>
        </w:rPr>
        <w:t>observed the formation of perfect nonlinear Talbot carpets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en-US"/>
        </w:rPr>
        <w:t xml:space="preserve">for small input intensities.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296545</wp:posOffset>
            </wp:positionH>
            <wp:positionV relativeFrom="paragraph">
              <wp:posOffset>157480</wp:posOffset>
            </wp:positionV>
            <wp:extent cx="5139055" cy="265366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265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40"/>
        <w:ind w:firstLine="357" w:end="0"/>
        <w:jc w:val="center"/>
        <w:rPr/>
      </w:pPr>
      <w:r>
        <w:rPr>
          <w:sz w:val="20"/>
          <w:szCs w:val="20"/>
        </w:rPr>
        <w:t>Figure</w:t>
      </w:r>
      <w:r>
        <w:rPr>
          <w:sz w:val="20"/>
          <w:szCs w:val="20"/>
          <w:lang w:val="sr-Latn-CS"/>
        </w:rPr>
        <w:t xml:space="preserve"> 1.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  <w:lang w:val="sr-Latn-CS"/>
        </w:rPr>
        <w:t>The nonlinear Talbot effect of counterpropagating rogue waves: input is Ahkmediev breather for both forward (F) and backward (B) propagating beams.</w:t>
      </w:r>
      <w:r>
        <w:rPr>
          <w:sz w:val="20"/>
          <w:szCs w:val="20"/>
          <w:lang w:val="sr-Latn-CS"/>
        </w:rPr>
        <w:t xml:space="preserve"> </w:t>
      </w:r>
    </w:p>
    <w:p>
      <w:pPr>
        <w:pStyle w:val="Normal"/>
        <w:spacing w:before="0" w:after="240"/>
        <w:ind w:firstLine="357" w:end="0"/>
        <w:jc w:val="center"/>
        <w:rPr>
          <w:sz w:val="20"/>
          <w:szCs w:val="20"/>
          <w:lang w:val="sr-Latn-CS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>
      <w:pPr>
        <w:pStyle w:val="Normal"/>
        <w:rPr/>
      </w:pPr>
      <w:r>
        <w:rPr>
          <w:rFonts w:cs="Times New Roman"/>
          <w:sz w:val="22"/>
          <w:szCs w:val="22"/>
        </w:rPr>
        <w:t xml:space="preserve">[1] J. Wen </w:t>
      </w:r>
      <w:r>
        <w:rPr>
          <w:rFonts w:cs="Times New Roman"/>
          <w:i/>
          <w:iCs/>
          <w:sz w:val="22"/>
          <w:szCs w:val="22"/>
        </w:rPr>
        <w:t>et al</w:t>
      </w:r>
      <w:r>
        <w:rPr>
          <w:rFonts w:cs="Times New Roman"/>
          <w:sz w:val="22"/>
          <w:szCs w:val="22"/>
        </w:rPr>
        <w:t xml:space="preserve">., Adv. in Opt. and Phot. </w:t>
      </w:r>
      <w:r>
        <w:rPr>
          <w:rFonts w:cs="Times New Roman"/>
          <w:b w:val="false"/>
          <w:bCs w:val="false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, 83-130 (2013).  </w:t>
      </w:r>
    </w:p>
    <w:p>
      <w:pPr>
        <w:pStyle w:val="Normal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[2] Y. Zhang </w:t>
      </w:r>
      <w:r>
        <w:rPr>
          <w:rFonts w:cs="Times New Roman"/>
          <w:i/>
          <w:iCs/>
          <w:sz w:val="22"/>
          <w:szCs w:val="22"/>
        </w:rPr>
        <w:t>et al.</w:t>
      </w:r>
      <w:r>
        <w:rPr>
          <w:rFonts w:cs="Times New Roman"/>
          <w:sz w:val="22"/>
          <w:szCs w:val="22"/>
        </w:rPr>
        <w:t xml:space="preserve">, Phys. Rev. E </w:t>
      </w:r>
      <w:r>
        <w:rPr>
          <w:rFonts w:cs="Times New Roman"/>
          <w:b w:val="false"/>
          <w:bCs w:val="false"/>
          <w:sz w:val="22"/>
          <w:szCs w:val="22"/>
        </w:rPr>
        <w:t>89,</w:t>
      </w:r>
      <w:r>
        <w:rPr>
          <w:rFonts w:cs="Times New Roman"/>
          <w:sz w:val="22"/>
          <w:szCs w:val="22"/>
        </w:rPr>
        <w:t xml:space="preserve"> 032902 (2014). </w:t>
      </w:r>
    </w:p>
    <w:p>
      <w:pPr>
        <w:pStyle w:val="Normal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[3] Y. Zhang </w:t>
      </w:r>
      <w:r>
        <w:rPr>
          <w:rFonts w:cs="Times New Roman"/>
          <w:i/>
          <w:iCs/>
          <w:sz w:val="22"/>
          <w:szCs w:val="22"/>
        </w:rPr>
        <w:t>et al.</w:t>
      </w:r>
      <w:r>
        <w:rPr>
          <w:rFonts w:cs="Times New Roman"/>
          <w:sz w:val="22"/>
          <w:szCs w:val="22"/>
        </w:rPr>
        <w:t>, Phys. Rev. E</w:t>
      </w:r>
      <w:r>
        <w:rPr>
          <w:rFonts w:cs="Times New Roman"/>
          <w:b w:val="false"/>
          <w:bCs w:val="false"/>
          <w:sz w:val="22"/>
          <w:szCs w:val="22"/>
        </w:rPr>
        <w:t xml:space="preserve"> 91,</w:t>
      </w:r>
      <w:r>
        <w:rPr>
          <w:rFonts w:cs="Times New Roman"/>
          <w:sz w:val="22"/>
          <w:szCs w:val="22"/>
        </w:rPr>
        <w:t xml:space="preserve"> 032916 (2015).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ORCID: M.P.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0000-0002-6874-4407, </w:t>
    </w:r>
    <w:r>
      <w:rPr/>
      <w:t>A.S.0000-0001-9002-3764, M.B.</w:t>
    </w:r>
    <w:r>
      <w:rPr>
        <w:b w:val="false"/>
        <w:i w:val="false"/>
        <w:caps w:val="false"/>
        <w:smallCaps w:val="false"/>
        <w:color w:themeColor="dark1" w:val="000000"/>
        <w:spacing w:val="0"/>
        <w:sz w:val="24"/>
      </w:rPr>
      <w:t>0000-0002-2622-6425</w:t>
    </w:r>
    <w:r>
      <w:rPr>
        <w:color w:themeColor="dark1" w:val="000000"/>
      </w:rPr>
      <w:t xml:space="preserve">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ORCID: M.P.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0000-0002-6874-4407, </w:t>
    </w:r>
    <w:r>
      <w:rPr/>
      <w:t>A.S.0000-0001-9002-3764, M.B.</w:t>
    </w:r>
    <w:r>
      <w:rPr>
        <w:b w:val="false"/>
        <w:i w:val="false"/>
        <w:caps w:val="false"/>
        <w:smallCaps w:val="false"/>
        <w:color w:themeColor="dark1" w:val="000000"/>
        <w:spacing w:val="0"/>
        <w:sz w:val="24"/>
      </w:rPr>
      <w:t>0000-0002-2622-6425</w:t>
    </w:r>
    <w:r>
      <w:rPr>
        <w:color w:themeColor="dark1" w:val="000000"/>
      </w:rPr>
      <w:t xml:space="preserve"> 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  <w:lang w:val="en-US"/>
    </w:rPr>
  </w:style>
  <w:style w:type="character" w:styleId="FooterChar">
    <w:name w:val="Footer Char"/>
    <w:qFormat/>
    <w:rPr>
      <w:sz w:val="24"/>
      <w:szCs w:val="24"/>
      <w:lang w:val="en-US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115</TotalTime>
  <Application>LibreOffice/25.2.4.3$Windows_X86_64 LibreOffice_project/33e196637044ead23f5c3226cde09b47731f7e27</Application>
  <AppVersion>15.0000</AppVersion>
  <Pages>1</Pages>
  <Words>208</Words>
  <Characters>1263</Characters>
  <CharactersWithSpaces>1468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2025-02-18T12:56:00Z</dcterms:created>
  <dc:creator>User</dc:creator>
  <dc:description/>
  <dc:language>en-US</dc:language>
  <cp:lastModifiedBy/>
  <cp:lastPrinted>2025-06-26T14:09:25Z</cp:lastPrinted>
  <dcterms:modified xsi:type="dcterms:W3CDTF">2025-06-26T14:09:41Z</dcterms:modified>
  <cp:revision>27</cp:revision>
  <dc:subject/>
  <dc:title>How to prepare an abstract for ISCOM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dc35672bcca9db0709714a0f380a680672d9c2fd5105a567e7e9fa5b3e5b06cc_x0000__x0000__x0000_</vt:lpwstr>
  </property>
</Properties>
</file>