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F2E2" w14:textId="77777777" w:rsidR="00EE1D8B" w:rsidRPr="00014390" w:rsidRDefault="00EE1D8B" w:rsidP="00EE1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390">
        <w:rPr>
          <w:rFonts w:ascii="Times New Roman" w:hAnsi="Times New Roman" w:cs="Times New Roman"/>
          <w:b/>
          <w:bCs/>
          <w:sz w:val="28"/>
          <w:szCs w:val="28"/>
        </w:rPr>
        <w:t>The impact of SRH recombination on the current-voltage characteristic of organic and perovskite solar cells</w:t>
      </w:r>
    </w:p>
    <w:p w14:paraId="569F8491" w14:textId="77777777" w:rsidR="00EE1D8B" w:rsidRPr="00135AF1" w:rsidRDefault="00EE1D8B" w:rsidP="00EE1D8B">
      <w:pPr>
        <w:spacing w:after="0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135AF1">
        <w:rPr>
          <w:rFonts w:ascii="Times New Roman" w:hAnsi="Times New Roman" w:cs="Times New Roman"/>
          <w:sz w:val="22"/>
          <w:szCs w:val="22"/>
          <w:u w:val="single"/>
          <w:lang w:val="pt-BR"/>
        </w:rPr>
        <w:t>N. Arbutina</w:t>
      </w:r>
      <w:r w:rsidRPr="00135AF1">
        <w:rPr>
          <w:rFonts w:ascii="Times New Roman" w:hAnsi="Times New Roman" w:cs="Times New Roman"/>
          <w:sz w:val="22"/>
          <w:szCs w:val="22"/>
          <w:lang w:val="pt-BR"/>
        </w:rPr>
        <w:t>, J. Gojanović, P. Matavulj</w:t>
      </w:r>
    </w:p>
    <w:p w14:paraId="40AD9EEB" w14:textId="77777777" w:rsidR="00EE1D8B" w:rsidRPr="00014390" w:rsidRDefault="00EE1D8B" w:rsidP="00EE1D8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4390">
        <w:rPr>
          <w:rFonts w:ascii="Times New Roman" w:hAnsi="Times New Roman" w:cs="Times New Roman"/>
          <w:i/>
          <w:iCs/>
          <w:sz w:val="20"/>
          <w:szCs w:val="20"/>
        </w:rPr>
        <w:t>School of Electrical Engineering,</w:t>
      </w:r>
    </w:p>
    <w:p w14:paraId="5FB67AF4" w14:textId="77777777" w:rsidR="00EE1D8B" w:rsidRDefault="00EE1D8B" w:rsidP="00EE1D8B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4390">
        <w:rPr>
          <w:rFonts w:ascii="Times New Roman" w:hAnsi="Times New Roman" w:cs="Times New Roman"/>
          <w:i/>
          <w:iCs/>
          <w:sz w:val="20"/>
          <w:szCs w:val="20"/>
        </w:rPr>
        <w:t>University of Belgrade, Serbia</w:t>
      </w:r>
    </w:p>
    <w:p w14:paraId="7697DDD2" w14:textId="77777777" w:rsidR="00EE1D8B" w:rsidRDefault="00EE1D8B" w:rsidP="00EE1D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Pr="00C95673">
          <w:rPr>
            <w:rStyle w:val="Hyperlink"/>
            <w:rFonts w:ascii="Times New Roman" w:hAnsi="Times New Roman" w:cs="Times New Roman"/>
            <w:sz w:val="20"/>
            <w:szCs w:val="20"/>
          </w:rPr>
          <w:t>an243193m@student.etf.bg.ac.rs</w:t>
        </w:r>
      </w:hyperlink>
    </w:p>
    <w:p w14:paraId="3B25B2CE" w14:textId="77777777" w:rsidR="00EE1D8B" w:rsidRDefault="00EE1D8B" w:rsidP="00EE1D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04969DF" w14:textId="77777777" w:rsidR="00EE1D8B" w:rsidRDefault="009906EA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906EA">
        <w:rPr>
          <w:rFonts w:ascii="Times New Roman" w:hAnsi="Times New Roman" w:cs="Times New Roman"/>
          <w:sz w:val="22"/>
          <w:szCs w:val="22"/>
        </w:rPr>
        <w:t>Nowadays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906EA">
        <w:rPr>
          <w:rFonts w:ascii="Times New Roman" w:hAnsi="Times New Roman" w:cs="Times New Roman"/>
          <w:sz w:val="22"/>
          <w:szCs w:val="22"/>
        </w:rPr>
        <w:t xml:space="preserve"> extremely important </w:t>
      </w:r>
      <w:r>
        <w:rPr>
          <w:rFonts w:ascii="Times New Roman" w:hAnsi="Times New Roman" w:cs="Times New Roman"/>
          <w:sz w:val="22"/>
          <w:szCs w:val="22"/>
        </w:rPr>
        <w:t xml:space="preserve">emerging technologies of </w:t>
      </w:r>
      <w:r w:rsidR="00EE1D8B">
        <w:rPr>
          <w:rFonts w:ascii="Times New Roman" w:hAnsi="Times New Roman" w:cs="Times New Roman"/>
          <w:sz w:val="22"/>
          <w:szCs w:val="22"/>
        </w:rPr>
        <w:t>solar cells are organic</w:t>
      </w:r>
      <w:r w:rsidR="00DB5901">
        <w:rPr>
          <w:rFonts w:ascii="Times New Roman" w:hAnsi="Times New Roman" w:cs="Times New Roman"/>
          <w:sz w:val="22"/>
          <w:szCs w:val="22"/>
        </w:rPr>
        <w:t xml:space="preserve"> (OSC)</w:t>
      </w:r>
      <w:r w:rsidR="00EE1D8B">
        <w:rPr>
          <w:rFonts w:ascii="Times New Roman" w:hAnsi="Times New Roman" w:cs="Times New Roman"/>
          <w:sz w:val="22"/>
          <w:szCs w:val="22"/>
        </w:rPr>
        <w:t xml:space="preserve"> and perovskite solar cells</w:t>
      </w:r>
      <w:r w:rsidR="00DB5901">
        <w:rPr>
          <w:rFonts w:ascii="Times New Roman" w:hAnsi="Times New Roman" w:cs="Times New Roman"/>
          <w:sz w:val="22"/>
          <w:szCs w:val="22"/>
        </w:rPr>
        <w:t xml:space="preserve"> (PSC)</w:t>
      </w:r>
      <w:r w:rsidR="00EE1D8B">
        <w:rPr>
          <w:rFonts w:ascii="Times New Roman" w:hAnsi="Times New Roman" w:cs="Times New Roman"/>
          <w:sz w:val="22"/>
          <w:szCs w:val="22"/>
        </w:rPr>
        <w:t>.</w:t>
      </w:r>
      <w:r w:rsidR="00A9035A">
        <w:rPr>
          <w:rFonts w:ascii="Times New Roman" w:hAnsi="Times New Roman" w:cs="Times New Roman"/>
          <w:sz w:val="22"/>
          <w:szCs w:val="22"/>
        </w:rPr>
        <w:t xml:space="preserve"> Being cheap</w:t>
      </w:r>
      <w:r w:rsidR="00156D1A">
        <w:rPr>
          <w:rFonts w:ascii="Times New Roman" w:hAnsi="Times New Roman" w:cs="Times New Roman"/>
          <w:sz w:val="22"/>
          <w:szCs w:val="22"/>
        </w:rPr>
        <w:t>,</w:t>
      </w:r>
      <w:r w:rsidR="00156D1A" w:rsidRPr="00156D1A">
        <w:t xml:space="preserve"> </w:t>
      </w:r>
      <w:r w:rsidR="00156D1A">
        <w:rPr>
          <w:rFonts w:ascii="Times New Roman" w:hAnsi="Times New Roman" w:cs="Times New Roman"/>
          <w:sz w:val="22"/>
          <w:szCs w:val="22"/>
        </w:rPr>
        <w:t>lightweight,</w:t>
      </w:r>
      <w:r w:rsidR="00156D1A" w:rsidRPr="00156D1A">
        <w:rPr>
          <w:rFonts w:ascii="Times New Roman" w:hAnsi="Times New Roman" w:cs="Times New Roman"/>
          <w:sz w:val="22"/>
          <w:szCs w:val="22"/>
        </w:rPr>
        <w:t xml:space="preserve"> flexible</w:t>
      </w:r>
      <w:r w:rsidR="00156D1A">
        <w:rPr>
          <w:rFonts w:ascii="Times New Roman" w:hAnsi="Times New Roman" w:cs="Times New Roman"/>
          <w:sz w:val="22"/>
          <w:szCs w:val="22"/>
        </w:rPr>
        <w:t>, scalable a</w:t>
      </w:r>
      <w:r w:rsidR="00A9035A">
        <w:rPr>
          <w:rFonts w:ascii="Times New Roman" w:hAnsi="Times New Roman" w:cs="Times New Roman"/>
          <w:sz w:val="22"/>
          <w:szCs w:val="22"/>
        </w:rPr>
        <w:t xml:space="preserve">nd with good efficiency these solar cells are subject of further development, especially </w:t>
      </w:r>
      <w:r w:rsidR="00DF5489">
        <w:rPr>
          <w:rFonts w:ascii="Times New Roman" w:hAnsi="Times New Roman" w:cs="Times New Roman"/>
          <w:sz w:val="22"/>
          <w:szCs w:val="22"/>
        </w:rPr>
        <w:t>investigation</w:t>
      </w:r>
      <w:r w:rsidR="00A9035A">
        <w:rPr>
          <w:rFonts w:ascii="Times New Roman" w:hAnsi="Times New Roman" w:cs="Times New Roman"/>
          <w:sz w:val="22"/>
          <w:szCs w:val="22"/>
        </w:rPr>
        <w:t xml:space="preserve"> of </w:t>
      </w:r>
      <w:r w:rsidR="00612BD8">
        <w:rPr>
          <w:rFonts w:ascii="Times New Roman" w:hAnsi="Times New Roman" w:cs="Times New Roman"/>
          <w:sz w:val="22"/>
          <w:szCs w:val="22"/>
        </w:rPr>
        <w:t xml:space="preserve">physical processes </w:t>
      </w:r>
      <w:r w:rsidR="00E12175">
        <w:rPr>
          <w:rFonts w:ascii="Times New Roman" w:hAnsi="Times New Roman" w:cs="Times New Roman"/>
          <w:sz w:val="22"/>
          <w:szCs w:val="22"/>
        </w:rPr>
        <w:t>undergoing the</w:t>
      </w:r>
      <w:r w:rsidR="00612BD8">
        <w:rPr>
          <w:rFonts w:ascii="Times New Roman" w:hAnsi="Times New Roman" w:cs="Times New Roman"/>
          <w:sz w:val="22"/>
          <w:szCs w:val="22"/>
        </w:rPr>
        <w:t xml:space="preserve"> solar cells </w:t>
      </w:r>
      <w:r w:rsidR="004F7E95">
        <w:rPr>
          <w:rFonts w:ascii="Times New Roman" w:hAnsi="Times New Roman" w:cs="Times New Roman"/>
          <w:sz w:val="22"/>
          <w:szCs w:val="22"/>
        </w:rPr>
        <w:t>operation,</w:t>
      </w:r>
      <w:r w:rsidR="002A79BD">
        <w:rPr>
          <w:rFonts w:ascii="Times New Roman" w:hAnsi="Times New Roman" w:cs="Times New Roman"/>
          <w:sz w:val="22"/>
          <w:szCs w:val="22"/>
        </w:rPr>
        <w:t xml:space="preserve"> because of need for reaching their full potential</w:t>
      </w:r>
      <w:r w:rsidR="00A9035A">
        <w:rPr>
          <w:rFonts w:ascii="Times New Roman" w:hAnsi="Times New Roman" w:cs="Times New Roman"/>
          <w:sz w:val="22"/>
          <w:szCs w:val="22"/>
        </w:rPr>
        <w:t>.</w:t>
      </w:r>
      <w:r w:rsidR="002A79BD">
        <w:rPr>
          <w:rFonts w:ascii="Times New Roman" w:hAnsi="Times New Roman" w:cs="Times New Roman"/>
          <w:sz w:val="22"/>
          <w:szCs w:val="22"/>
        </w:rPr>
        <w:t xml:space="preserve"> It is especially important to understand</w:t>
      </w:r>
      <w:r w:rsidR="00E116A5">
        <w:rPr>
          <w:rFonts w:ascii="Times New Roman" w:hAnsi="Times New Roman" w:cs="Times New Roman"/>
          <w:sz w:val="22"/>
          <w:szCs w:val="22"/>
        </w:rPr>
        <w:t xml:space="preserve"> the</w:t>
      </w:r>
      <w:r w:rsidR="002A79BD">
        <w:rPr>
          <w:rFonts w:ascii="Times New Roman" w:hAnsi="Times New Roman" w:cs="Times New Roman"/>
          <w:sz w:val="22"/>
          <w:szCs w:val="22"/>
        </w:rPr>
        <w:t xml:space="preserve"> influence of recombination as it is fundamental mechanism of losses both in OSC</w:t>
      </w:r>
      <w:r w:rsidR="00C023B7">
        <w:rPr>
          <w:rFonts w:ascii="Times New Roman" w:hAnsi="Times New Roman" w:cs="Times New Roman"/>
          <w:sz w:val="22"/>
          <w:szCs w:val="22"/>
        </w:rPr>
        <w:t>s</w:t>
      </w:r>
      <w:r w:rsidR="002A79BD">
        <w:rPr>
          <w:rFonts w:ascii="Times New Roman" w:hAnsi="Times New Roman" w:cs="Times New Roman"/>
          <w:sz w:val="22"/>
          <w:szCs w:val="22"/>
        </w:rPr>
        <w:t xml:space="preserve"> and in PSC</w:t>
      </w:r>
      <w:r w:rsidR="00C023B7">
        <w:rPr>
          <w:rFonts w:ascii="Times New Roman" w:hAnsi="Times New Roman" w:cs="Times New Roman"/>
          <w:sz w:val="22"/>
          <w:szCs w:val="22"/>
        </w:rPr>
        <w:t>s</w:t>
      </w:r>
      <w:r w:rsidR="002A79BD">
        <w:rPr>
          <w:rFonts w:ascii="Times New Roman" w:hAnsi="Times New Roman" w:cs="Times New Roman"/>
          <w:sz w:val="22"/>
          <w:szCs w:val="22"/>
        </w:rPr>
        <w:t>.</w:t>
      </w:r>
    </w:p>
    <w:p w14:paraId="0B6F4C1C" w14:textId="77777777" w:rsidR="00EE1D8B" w:rsidRDefault="00EE1D8B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7C77536" w14:textId="77777777" w:rsidR="001A062E" w:rsidRDefault="00A9035A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this paper we have used</w:t>
      </w:r>
      <w:r w:rsidR="00C50C29">
        <w:rPr>
          <w:rFonts w:ascii="Times New Roman" w:hAnsi="Times New Roman" w:cs="Times New Roman"/>
          <w:sz w:val="22"/>
          <w:szCs w:val="22"/>
        </w:rPr>
        <w:t xml:space="preserve"> one dimensional</w:t>
      </w:r>
      <w:r>
        <w:rPr>
          <w:rFonts w:ascii="Times New Roman" w:hAnsi="Times New Roman" w:cs="Times New Roman"/>
          <w:sz w:val="22"/>
          <w:szCs w:val="22"/>
        </w:rPr>
        <w:t xml:space="preserve"> drift-diffusion model </w:t>
      </w:r>
      <w:r w:rsidR="00C50C29">
        <w:rPr>
          <w:rFonts w:ascii="Times New Roman" w:hAnsi="Times New Roman" w:cs="Times New Roman"/>
          <w:sz w:val="22"/>
          <w:szCs w:val="22"/>
        </w:rPr>
        <w:t xml:space="preserve">for </w:t>
      </w:r>
      <w:r w:rsidR="003B265B">
        <w:rPr>
          <w:rFonts w:ascii="Times New Roman" w:hAnsi="Times New Roman" w:cs="Times New Roman"/>
          <w:sz w:val="22"/>
          <w:szCs w:val="22"/>
        </w:rPr>
        <w:t xml:space="preserve">describing processes inside of the </w:t>
      </w:r>
      <w:r w:rsidR="0068273D">
        <w:rPr>
          <w:rFonts w:ascii="Times New Roman" w:hAnsi="Times New Roman" w:cs="Times New Roman"/>
          <w:sz w:val="22"/>
          <w:szCs w:val="22"/>
        </w:rPr>
        <w:t>OSCs</w:t>
      </w:r>
      <w:r w:rsidR="003B265B">
        <w:rPr>
          <w:rFonts w:ascii="Times New Roman" w:hAnsi="Times New Roman" w:cs="Times New Roman"/>
          <w:sz w:val="22"/>
          <w:szCs w:val="22"/>
        </w:rPr>
        <w:t xml:space="preserve"> and </w:t>
      </w:r>
      <w:r w:rsidR="0068273D">
        <w:rPr>
          <w:rFonts w:ascii="Times New Roman" w:hAnsi="Times New Roman" w:cs="Times New Roman"/>
          <w:sz w:val="22"/>
          <w:szCs w:val="22"/>
        </w:rPr>
        <w:t>PSCs</w:t>
      </w:r>
      <w:r w:rsidR="003B265B">
        <w:rPr>
          <w:rFonts w:ascii="Times New Roman" w:hAnsi="Times New Roman" w:cs="Times New Roman"/>
          <w:sz w:val="22"/>
          <w:szCs w:val="22"/>
        </w:rPr>
        <w:t>, such as generation, transport and recombination of carriers</w:t>
      </w:r>
      <w:r w:rsidR="00156D1A">
        <w:rPr>
          <w:rFonts w:ascii="Times New Roman" w:hAnsi="Times New Roman" w:cs="Times New Roman"/>
          <w:sz w:val="22"/>
          <w:szCs w:val="22"/>
        </w:rPr>
        <w:t xml:space="preserve"> [1]</w:t>
      </w:r>
      <w:r w:rsidR="003B265B">
        <w:rPr>
          <w:rFonts w:ascii="Times New Roman" w:hAnsi="Times New Roman" w:cs="Times New Roman"/>
          <w:sz w:val="22"/>
          <w:szCs w:val="22"/>
        </w:rPr>
        <w:t xml:space="preserve">. </w:t>
      </w:r>
      <w:r w:rsidR="00C023B7">
        <w:rPr>
          <w:rFonts w:ascii="Times New Roman" w:hAnsi="Times New Roman" w:cs="Times New Roman"/>
          <w:sz w:val="22"/>
          <w:szCs w:val="22"/>
        </w:rPr>
        <w:t>Generation was calculate</w:t>
      </w:r>
      <w:r w:rsidR="00E116A5">
        <w:rPr>
          <w:rFonts w:ascii="Times New Roman" w:hAnsi="Times New Roman" w:cs="Times New Roman"/>
          <w:sz w:val="22"/>
          <w:szCs w:val="22"/>
        </w:rPr>
        <w:t xml:space="preserve">d using transfer matrix method. </w:t>
      </w:r>
      <w:r w:rsidR="009906EA">
        <w:rPr>
          <w:rFonts w:ascii="Times New Roman" w:hAnsi="Times New Roman" w:cs="Times New Roman"/>
          <w:sz w:val="22"/>
          <w:szCs w:val="22"/>
        </w:rPr>
        <w:t>We have assumed constant value</w:t>
      </w:r>
      <w:r w:rsidR="00E12175">
        <w:rPr>
          <w:rFonts w:ascii="Times New Roman" w:hAnsi="Times New Roman" w:cs="Times New Roman"/>
          <w:sz w:val="22"/>
          <w:szCs w:val="22"/>
        </w:rPr>
        <w:t xml:space="preserve">s </w:t>
      </w:r>
      <w:r w:rsidR="00FB2F0C">
        <w:rPr>
          <w:rFonts w:ascii="Times New Roman" w:hAnsi="Times New Roman" w:cs="Times New Roman"/>
          <w:sz w:val="22"/>
          <w:szCs w:val="22"/>
        </w:rPr>
        <w:t>for electron and hole mobility</w:t>
      </w:r>
      <w:r w:rsidR="009906EA">
        <w:rPr>
          <w:rFonts w:ascii="Times New Roman" w:hAnsi="Times New Roman" w:cs="Times New Roman"/>
          <w:sz w:val="22"/>
          <w:szCs w:val="22"/>
        </w:rPr>
        <w:t xml:space="preserve">. </w:t>
      </w:r>
      <w:r w:rsidR="00424D32">
        <w:rPr>
          <w:rFonts w:ascii="Times New Roman" w:hAnsi="Times New Roman" w:cs="Times New Roman"/>
          <w:sz w:val="22"/>
          <w:szCs w:val="22"/>
        </w:rPr>
        <w:t>For solving the drift-diffusion equations Dirichlet boundary conditions were applied.</w:t>
      </w:r>
      <w:r w:rsidR="00C023B7">
        <w:rPr>
          <w:rFonts w:ascii="Times New Roman" w:hAnsi="Times New Roman" w:cs="Times New Roman"/>
          <w:sz w:val="22"/>
          <w:szCs w:val="22"/>
        </w:rPr>
        <w:t xml:space="preserve"> </w:t>
      </w:r>
      <w:r w:rsidR="00DF5489">
        <w:rPr>
          <w:rFonts w:ascii="Times New Roman" w:hAnsi="Times New Roman" w:cs="Times New Roman"/>
          <w:sz w:val="22"/>
          <w:szCs w:val="22"/>
        </w:rPr>
        <w:t>We used</w:t>
      </w:r>
      <w:r w:rsidR="007C03BB">
        <w:rPr>
          <w:rFonts w:ascii="Times New Roman" w:hAnsi="Times New Roman" w:cs="Times New Roman"/>
          <w:sz w:val="22"/>
          <w:szCs w:val="22"/>
        </w:rPr>
        <w:t xml:space="preserve"> </w:t>
      </w:r>
      <w:r w:rsidR="00FB2F0C">
        <w:rPr>
          <w:rFonts w:ascii="Times New Roman" w:hAnsi="Times New Roman" w:cs="Times New Roman"/>
          <w:sz w:val="22"/>
          <w:szCs w:val="22"/>
        </w:rPr>
        <w:t>Shockley-Read-Hall</w:t>
      </w:r>
      <w:r w:rsidR="00424D32">
        <w:rPr>
          <w:rFonts w:ascii="Times New Roman" w:hAnsi="Times New Roman" w:cs="Times New Roman"/>
          <w:sz w:val="22"/>
          <w:szCs w:val="22"/>
        </w:rPr>
        <w:t xml:space="preserve"> </w:t>
      </w:r>
      <w:r w:rsidR="00FB2F0C">
        <w:rPr>
          <w:rFonts w:ascii="Times New Roman" w:hAnsi="Times New Roman" w:cs="Times New Roman"/>
          <w:sz w:val="22"/>
          <w:szCs w:val="22"/>
        </w:rPr>
        <w:t xml:space="preserve">(SRH) </w:t>
      </w:r>
      <w:r w:rsidR="00424D32">
        <w:rPr>
          <w:rFonts w:ascii="Times New Roman" w:hAnsi="Times New Roman" w:cs="Times New Roman"/>
          <w:sz w:val="22"/>
          <w:szCs w:val="22"/>
        </w:rPr>
        <w:t>and Langevin recombination</w:t>
      </w:r>
      <w:r w:rsidR="00C023B7">
        <w:rPr>
          <w:rFonts w:ascii="Times New Roman" w:hAnsi="Times New Roman" w:cs="Times New Roman"/>
          <w:sz w:val="22"/>
          <w:szCs w:val="22"/>
        </w:rPr>
        <w:t xml:space="preserve">, where recombination rate was controlled by introducing variable coefficients: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L</m:t>
            </m:r>
          </m:sub>
        </m:sSub>
      </m:oMath>
      <w:r w:rsidR="00C023B7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SRH</m:t>
            </m:r>
          </m:sub>
        </m:sSub>
      </m:oMath>
      <w:r w:rsidR="00C023B7">
        <w:rPr>
          <w:rFonts w:ascii="Times New Roman" w:eastAsiaTheme="minorEastAsia" w:hAnsi="Times New Roman" w:cs="Times New Roman"/>
          <w:sz w:val="22"/>
          <w:szCs w:val="22"/>
        </w:rPr>
        <w:t>, where the first correspond to change in reduction coefficient of Langevin recombination and the second correspond to change in trap states concentration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</m:oMath>
      <w:r w:rsidR="005D0C23">
        <w:rPr>
          <w:rFonts w:ascii="Times New Roman" w:eastAsiaTheme="minorEastAsia" w:hAnsi="Times New Roman" w:cs="Times New Roman"/>
          <w:sz w:val="22"/>
          <w:szCs w:val="22"/>
        </w:rPr>
        <w:t>)</w:t>
      </w:r>
      <w:r w:rsidR="00C023B7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424D32">
        <w:rPr>
          <w:rFonts w:ascii="Times New Roman" w:hAnsi="Times New Roman" w:cs="Times New Roman"/>
          <w:sz w:val="22"/>
          <w:szCs w:val="22"/>
        </w:rPr>
        <w:t xml:space="preserve"> Drift-diffusion equations are then solved numerically. Discretization </w:t>
      </w:r>
      <w:r w:rsidR="00FB2F0C">
        <w:rPr>
          <w:rFonts w:ascii="Times New Roman" w:hAnsi="Times New Roman" w:cs="Times New Roman"/>
          <w:sz w:val="22"/>
          <w:szCs w:val="22"/>
        </w:rPr>
        <w:t>of equations was done using f</w:t>
      </w:r>
      <w:r w:rsidR="00424D32">
        <w:rPr>
          <w:rFonts w:ascii="Times New Roman" w:hAnsi="Times New Roman" w:cs="Times New Roman"/>
          <w:sz w:val="22"/>
          <w:szCs w:val="22"/>
        </w:rPr>
        <w:t xml:space="preserve">inite </w:t>
      </w:r>
      <w:r w:rsidR="00FB2F0C">
        <w:rPr>
          <w:rFonts w:ascii="Times New Roman" w:hAnsi="Times New Roman" w:cs="Times New Roman"/>
          <w:sz w:val="22"/>
          <w:szCs w:val="22"/>
        </w:rPr>
        <w:t>d</w:t>
      </w:r>
      <w:r w:rsidR="00424D32">
        <w:rPr>
          <w:rFonts w:ascii="Times New Roman" w:hAnsi="Times New Roman" w:cs="Times New Roman"/>
          <w:sz w:val="22"/>
          <w:szCs w:val="22"/>
        </w:rPr>
        <w:t xml:space="preserve">ifference </w:t>
      </w:r>
      <w:r w:rsidR="00FB2F0C">
        <w:rPr>
          <w:rFonts w:ascii="Times New Roman" w:hAnsi="Times New Roman" w:cs="Times New Roman"/>
          <w:sz w:val="22"/>
          <w:szCs w:val="22"/>
        </w:rPr>
        <w:t>m</w:t>
      </w:r>
      <w:r w:rsidR="00424D32">
        <w:rPr>
          <w:rFonts w:ascii="Times New Roman" w:hAnsi="Times New Roman" w:cs="Times New Roman"/>
          <w:sz w:val="22"/>
          <w:szCs w:val="22"/>
        </w:rPr>
        <w:t xml:space="preserve">ethod with </w:t>
      </w:r>
      <w:proofErr w:type="spellStart"/>
      <w:r w:rsidR="00424D32">
        <w:rPr>
          <w:rFonts w:ascii="Times New Roman" w:hAnsi="Times New Roman" w:cs="Times New Roman"/>
          <w:sz w:val="22"/>
          <w:szCs w:val="22"/>
        </w:rPr>
        <w:t>Scharfetter</w:t>
      </w:r>
      <w:proofErr w:type="spellEnd"/>
      <w:r w:rsidR="00424D32">
        <w:rPr>
          <w:rFonts w:ascii="Times New Roman" w:hAnsi="Times New Roman" w:cs="Times New Roman"/>
          <w:sz w:val="22"/>
          <w:szCs w:val="22"/>
        </w:rPr>
        <w:t>-Gummel approach.</w:t>
      </w:r>
      <w:r w:rsidR="007C03BB">
        <w:rPr>
          <w:rFonts w:ascii="Times New Roman" w:hAnsi="Times New Roman" w:cs="Times New Roman"/>
          <w:sz w:val="22"/>
          <w:szCs w:val="22"/>
        </w:rPr>
        <w:t xml:space="preserve"> System of discretized equations was solved using Newton method</w:t>
      </w:r>
      <w:r w:rsidR="004F7414">
        <w:rPr>
          <w:rFonts w:ascii="Times New Roman" w:hAnsi="Times New Roman" w:cs="Times New Roman"/>
          <w:sz w:val="22"/>
          <w:szCs w:val="22"/>
        </w:rPr>
        <w:t xml:space="preserve"> [</w:t>
      </w:r>
      <w:r w:rsidR="0068273D">
        <w:rPr>
          <w:rFonts w:ascii="Times New Roman" w:hAnsi="Times New Roman" w:cs="Times New Roman"/>
          <w:sz w:val="22"/>
          <w:szCs w:val="22"/>
        </w:rPr>
        <w:t>2</w:t>
      </w:r>
      <w:r w:rsidR="004F7414">
        <w:rPr>
          <w:rFonts w:ascii="Times New Roman" w:hAnsi="Times New Roman" w:cs="Times New Roman"/>
          <w:sz w:val="22"/>
          <w:szCs w:val="22"/>
        </w:rPr>
        <w:t>]</w:t>
      </w:r>
      <w:r w:rsidR="007C03BB">
        <w:rPr>
          <w:rFonts w:ascii="Times New Roman" w:hAnsi="Times New Roman" w:cs="Times New Roman"/>
          <w:sz w:val="22"/>
          <w:szCs w:val="22"/>
        </w:rPr>
        <w:t>.</w:t>
      </w:r>
    </w:p>
    <w:p w14:paraId="49E86472" w14:textId="77777777" w:rsidR="00A9035A" w:rsidRDefault="00A9035A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3623C5B" w14:textId="2461823B" w:rsidR="00EE1D8B" w:rsidRDefault="001A062E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Changes </w:t>
      </w:r>
      <w:r w:rsidR="00EE1D8B">
        <w:rPr>
          <w:rFonts w:ascii="Times New Roman" w:hAnsi="Times New Roman" w:cs="Times New Roman"/>
          <w:sz w:val="22"/>
          <w:szCs w:val="22"/>
        </w:rPr>
        <w:t>in the current</w:t>
      </w:r>
      <w:r w:rsidR="004F7E95">
        <w:rPr>
          <w:rFonts w:ascii="Times New Roman" w:hAnsi="Times New Roman" w:cs="Times New Roman"/>
          <w:sz w:val="22"/>
          <w:szCs w:val="22"/>
        </w:rPr>
        <w:t xml:space="preserve"> density</w:t>
      </w:r>
      <w:r w:rsidR="00EE1D8B">
        <w:rPr>
          <w:rFonts w:ascii="Times New Roman" w:hAnsi="Times New Roman" w:cs="Times New Roman"/>
          <w:sz w:val="22"/>
          <w:szCs w:val="22"/>
        </w:rPr>
        <w:t xml:space="preserve">-voltage </w:t>
      </w:r>
      <w:r w:rsidR="004F7E95">
        <w:rPr>
          <w:rFonts w:ascii="Times New Roman" w:hAnsi="Times New Roman" w:cs="Times New Roman"/>
          <w:sz w:val="22"/>
          <w:szCs w:val="22"/>
        </w:rPr>
        <w:t xml:space="preserve">(J-V) </w:t>
      </w:r>
      <w:r w:rsidR="00EE1D8B">
        <w:rPr>
          <w:rFonts w:ascii="Times New Roman" w:hAnsi="Times New Roman" w:cs="Times New Roman"/>
          <w:sz w:val="22"/>
          <w:szCs w:val="22"/>
        </w:rPr>
        <w:t xml:space="preserve">characteristic of </w:t>
      </w:r>
      <w:r w:rsidR="0068273D">
        <w:rPr>
          <w:rFonts w:ascii="Times New Roman" w:hAnsi="Times New Roman" w:cs="Times New Roman"/>
          <w:sz w:val="22"/>
          <w:szCs w:val="22"/>
        </w:rPr>
        <w:t>OSCs</w:t>
      </w:r>
      <w:r w:rsidR="00EE1D8B">
        <w:rPr>
          <w:rFonts w:ascii="Times New Roman" w:hAnsi="Times New Roman" w:cs="Times New Roman"/>
          <w:sz w:val="22"/>
          <w:szCs w:val="22"/>
        </w:rPr>
        <w:t xml:space="preserve"> and </w:t>
      </w:r>
      <w:r w:rsidR="0068273D">
        <w:rPr>
          <w:rFonts w:ascii="Times New Roman" w:hAnsi="Times New Roman" w:cs="Times New Roman"/>
          <w:sz w:val="22"/>
          <w:szCs w:val="22"/>
        </w:rPr>
        <w:t>PSCs</w:t>
      </w:r>
      <w:r w:rsidR="00F33571">
        <w:rPr>
          <w:rFonts w:ascii="Times New Roman" w:hAnsi="Times New Roman" w:cs="Times New Roman"/>
          <w:sz w:val="22"/>
          <w:szCs w:val="22"/>
        </w:rPr>
        <w:t xml:space="preserve"> with the change of </w:t>
      </w:r>
      <w:r w:rsidR="00EE1D8B">
        <w:rPr>
          <w:rFonts w:ascii="Times New Roman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L</m:t>
            </m:r>
          </m:sub>
        </m:sSub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SRH</m:t>
            </m:r>
          </m:sub>
        </m:sSub>
      </m:oMath>
      <w:r w:rsidR="004F7E9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4F7E95">
        <w:rPr>
          <w:rFonts w:ascii="Times New Roman" w:hAnsi="Times New Roman" w:cs="Times New Roman"/>
          <w:sz w:val="22"/>
          <w:szCs w:val="22"/>
        </w:rPr>
        <w:t>were analyzed</w:t>
      </w:r>
      <w:r w:rsidR="00EE1D8B">
        <w:rPr>
          <w:rFonts w:ascii="Times New Roman" w:hAnsi="Times New Roman" w:cs="Times New Roman"/>
          <w:sz w:val="22"/>
          <w:szCs w:val="22"/>
        </w:rPr>
        <w:t>. Changes in open-circuit voltage (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OC</m:t>
            </m:r>
          </m:sub>
        </m:sSub>
      </m:oMath>
      <w:r w:rsidR="00EE1D8B">
        <w:rPr>
          <w:rFonts w:ascii="Times New Roman" w:hAnsi="Times New Roman" w:cs="Times New Roman"/>
          <w:sz w:val="22"/>
          <w:szCs w:val="22"/>
        </w:rPr>
        <w:t>), short-circuit current (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J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SC</m:t>
            </m:r>
          </m:sub>
        </m:sSub>
      </m:oMath>
      <w:r w:rsidR="00185523">
        <w:rPr>
          <w:rFonts w:ascii="Times New Roman" w:hAnsi="Times New Roman" w:cs="Times New Roman"/>
          <w:sz w:val="22"/>
          <w:szCs w:val="22"/>
        </w:rPr>
        <w:t>),</w:t>
      </w:r>
      <w:r w:rsidR="00EE1D8B">
        <w:rPr>
          <w:rFonts w:ascii="Times New Roman" w:hAnsi="Times New Roman" w:cs="Times New Roman"/>
          <w:sz w:val="22"/>
          <w:szCs w:val="22"/>
        </w:rPr>
        <w:t xml:space="preserve"> fill factor (</w:t>
      </w:r>
      <m:oMath>
        <m:r>
          <w:rPr>
            <w:rFonts w:ascii="Cambria Math" w:hAnsi="Cambria Math" w:cs="Times New Roman"/>
            <w:sz w:val="22"/>
            <w:szCs w:val="22"/>
          </w:rPr>
          <m:t>FF</m:t>
        </m:r>
      </m:oMath>
      <w:r w:rsidR="004F7E95">
        <w:rPr>
          <w:rFonts w:ascii="Times New Roman" w:hAnsi="Times New Roman" w:cs="Times New Roman"/>
          <w:sz w:val="22"/>
          <w:szCs w:val="22"/>
        </w:rPr>
        <w:t xml:space="preserve">) </w:t>
      </w:r>
      <w:r w:rsidR="00185523">
        <w:rPr>
          <w:rFonts w:ascii="Times New Roman" w:hAnsi="Times New Roman" w:cs="Times New Roman"/>
          <w:sz w:val="22"/>
          <w:szCs w:val="22"/>
        </w:rPr>
        <w:t>and power conversion efficiency (PCE) were</w:t>
      </w:r>
      <w:r w:rsidR="004F7E95">
        <w:rPr>
          <w:rFonts w:ascii="Times New Roman" w:hAnsi="Times New Roman" w:cs="Times New Roman"/>
          <w:sz w:val="22"/>
          <w:szCs w:val="22"/>
        </w:rPr>
        <w:t xml:space="preserve"> observed</w:t>
      </w:r>
      <w:r w:rsidR="00185523">
        <w:rPr>
          <w:rFonts w:ascii="Times New Roman" w:hAnsi="Times New Roman" w:cs="Times New Roman"/>
          <w:sz w:val="22"/>
          <w:szCs w:val="22"/>
        </w:rPr>
        <w:t xml:space="preserve"> and monitored</w:t>
      </w:r>
      <w:r w:rsidR="00EE1D8B">
        <w:rPr>
          <w:rFonts w:ascii="Times New Roman" w:hAnsi="Times New Roman" w:cs="Times New Roman"/>
          <w:sz w:val="22"/>
          <w:szCs w:val="22"/>
        </w:rPr>
        <w:t xml:space="preserve">. </w:t>
      </w:r>
      <w:r w:rsidR="00E116A5">
        <w:rPr>
          <w:rFonts w:ascii="Times New Roman" w:hAnsi="Times New Roman" w:cs="Times New Roman"/>
          <w:sz w:val="22"/>
          <w:szCs w:val="22"/>
        </w:rPr>
        <w:t>Our analysis has</w:t>
      </w:r>
      <w:r w:rsidR="00610460">
        <w:rPr>
          <w:rFonts w:ascii="Times New Roman" w:hAnsi="Times New Roman" w:cs="Times New Roman"/>
          <w:sz w:val="22"/>
          <w:szCs w:val="22"/>
        </w:rPr>
        <w:t xml:space="preserve"> concluded that </w:t>
      </w:r>
      <w:r w:rsidR="004F0A8F">
        <w:rPr>
          <w:rFonts w:ascii="Times New Roman" w:hAnsi="Times New Roman" w:cs="Times New Roman"/>
          <w:sz w:val="22"/>
          <w:szCs w:val="22"/>
        </w:rPr>
        <w:t>Lan</w:t>
      </w:r>
      <w:r w:rsidR="00E116A5">
        <w:rPr>
          <w:rFonts w:ascii="Times New Roman" w:hAnsi="Times New Roman" w:cs="Times New Roman"/>
          <w:sz w:val="22"/>
          <w:szCs w:val="22"/>
        </w:rPr>
        <w:t>gevin recombination has strong</w:t>
      </w:r>
      <w:r w:rsidR="004F0A8F">
        <w:rPr>
          <w:rFonts w:ascii="Times New Roman" w:hAnsi="Times New Roman" w:cs="Times New Roman"/>
          <w:sz w:val="22"/>
          <w:szCs w:val="22"/>
        </w:rPr>
        <w:t xml:space="preserve"> influence</w:t>
      </w:r>
      <w:r w:rsidR="00E116A5">
        <w:rPr>
          <w:rFonts w:ascii="Times New Roman" w:hAnsi="Times New Roman" w:cs="Times New Roman"/>
          <w:sz w:val="22"/>
          <w:szCs w:val="22"/>
        </w:rPr>
        <w:t xml:space="preserve"> on OSCs</w:t>
      </w:r>
      <w:r w:rsidR="005D0C23">
        <w:rPr>
          <w:rFonts w:ascii="Times New Roman" w:hAnsi="Times New Roman" w:cs="Times New Roman"/>
          <w:sz w:val="22"/>
          <w:szCs w:val="22"/>
        </w:rPr>
        <w:t xml:space="preserve"> performance</w:t>
      </w:r>
      <w:r w:rsidR="004F0A8F">
        <w:rPr>
          <w:rFonts w:ascii="Times New Roman" w:hAnsi="Times New Roman" w:cs="Times New Roman"/>
          <w:sz w:val="22"/>
          <w:szCs w:val="22"/>
        </w:rPr>
        <w:t xml:space="preserve">, while its influence </w:t>
      </w:r>
      <w:r w:rsidR="005D0C23">
        <w:rPr>
          <w:rFonts w:ascii="Times New Roman" w:hAnsi="Times New Roman" w:cs="Times New Roman"/>
          <w:sz w:val="22"/>
          <w:szCs w:val="22"/>
        </w:rPr>
        <w:t xml:space="preserve">on PSCs </w:t>
      </w:r>
      <w:r w:rsidR="004F0A8F">
        <w:rPr>
          <w:rFonts w:ascii="Times New Roman" w:hAnsi="Times New Roman" w:cs="Times New Roman"/>
          <w:sz w:val="22"/>
          <w:szCs w:val="22"/>
        </w:rPr>
        <w:t>is negligible.</w:t>
      </w:r>
      <w:r w:rsidR="00AE3629">
        <w:rPr>
          <w:rFonts w:ascii="Times New Roman" w:hAnsi="Times New Roman" w:cs="Times New Roman"/>
          <w:sz w:val="22"/>
          <w:szCs w:val="22"/>
        </w:rPr>
        <w:t xml:space="preserve"> Increase in</w:t>
      </w:r>
      <w:r w:rsidR="004F0A8F">
        <w:rPr>
          <w:rFonts w:ascii="Times New Roman" w:hAnsi="Times New Roman" w:cs="Times New Roman"/>
          <w:sz w:val="22"/>
          <w:szCs w:val="22"/>
        </w:rPr>
        <w:t xml:space="preserve"> SRH recombination</w:t>
      </w:r>
      <w:r w:rsidR="00AE3629">
        <w:rPr>
          <w:rFonts w:ascii="Times New Roman" w:hAnsi="Times New Roman" w:cs="Times New Roman"/>
          <w:sz w:val="22"/>
          <w:szCs w:val="22"/>
        </w:rPr>
        <w:t xml:space="preserve"> rate</w:t>
      </w:r>
      <w:r w:rsidR="004F0A8F">
        <w:rPr>
          <w:rFonts w:ascii="Times New Roman" w:hAnsi="Times New Roman" w:cs="Times New Roman"/>
          <w:sz w:val="22"/>
          <w:szCs w:val="22"/>
        </w:rPr>
        <w:t xml:space="preserve"> has negative </w:t>
      </w:r>
      <w:r w:rsidR="00E116A5">
        <w:rPr>
          <w:rFonts w:ascii="Times New Roman" w:hAnsi="Times New Roman" w:cs="Times New Roman"/>
          <w:sz w:val="22"/>
          <w:szCs w:val="22"/>
        </w:rPr>
        <w:t>impact</w:t>
      </w:r>
      <w:r w:rsidR="004F0A8F">
        <w:rPr>
          <w:rFonts w:ascii="Times New Roman" w:hAnsi="Times New Roman" w:cs="Times New Roman"/>
          <w:sz w:val="22"/>
          <w:szCs w:val="22"/>
        </w:rPr>
        <w:t xml:space="preserve"> on both OSC and PSC</w:t>
      </w:r>
      <w:r w:rsidR="00851D6A">
        <w:rPr>
          <w:rFonts w:ascii="Times New Roman" w:hAnsi="Times New Roman" w:cs="Times New Roman"/>
          <w:sz w:val="22"/>
          <w:szCs w:val="22"/>
        </w:rPr>
        <w:t>,</w:t>
      </w:r>
      <w:r w:rsidR="004F0A8F">
        <w:rPr>
          <w:rFonts w:ascii="Times New Roman" w:hAnsi="Times New Roman" w:cs="Times New Roman"/>
          <w:sz w:val="22"/>
          <w:szCs w:val="22"/>
        </w:rPr>
        <w:t xml:space="preserve"> whereat in OSC</w:t>
      </w:r>
      <w:r w:rsidR="00FF798A">
        <w:rPr>
          <w:rFonts w:ascii="Times New Roman" w:hAnsi="Times New Roman" w:cs="Times New Roman"/>
          <w:sz w:val="22"/>
          <w:szCs w:val="22"/>
        </w:rPr>
        <w:t>s</w:t>
      </w:r>
      <w:r w:rsidR="004F0A8F">
        <w:rPr>
          <w:rFonts w:ascii="Times New Roman" w:hAnsi="Times New Roman" w:cs="Times New Roman"/>
          <w:sz w:val="22"/>
          <w:szCs w:val="22"/>
        </w:rPr>
        <w:t xml:space="preserve"> </w:t>
      </w:r>
      <w:r w:rsidR="005D0C23">
        <w:rPr>
          <w:rFonts w:ascii="Times New Roman" w:hAnsi="Times New Roman" w:cs="Times New Roman"/>
          <w:sz w:val="22"/>
          <w:szCs w:val="22"/>
        </w:rPr>
        <w:t xml:space="preserve">its </w:t>
      </w:r>
      <w:r w:rsidR="00AE3629">
        <w:rPr>
          <w:rFonts w:ascii="Times New Roman" w:hAnsi="Times New Roman" w:cs="Times New Roman"/>
          <w:sz w:val="22"/>
          <w:szCs w:val="22"/>
        </w:rPr>
        <w:t xml:space="preserve">dominant impact </w:t>
      </w:r>
      <w:r w:rsidR="005D0C23">
        <w:rPr>
          <w:rFonts w:ascii="Times New Roman" w:hAnsi="Times New Roman" w:cs="Times New Roman"/>
          <w:sz w:val="22"/>
          <w:szCs w:val="22"/>
        </w:rPr>
        <w:t xml:space="preserve">is </w:t>
      </w:r>
      <w:r w:rsidR="00AE3629">
        <w:rPr>
          <w:rFonts w:ascii="Times New Roman" w:hAnsi="Times New Roman" w:cs="Times New Roman"/>
          <w:sz w:val="22"/>
          <w:szCs w:val="22"/>
        </w:rPr>
        <w:t>on declining</w:t>
      </w:r>
      <w:r w:rsidR="004F7E95">
        <w:rPr>
          <w:rFonts w:ascii="Times New Roman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J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SC</m:t>
            </m:r>
          </m:sub>
        </m:sSub>
      </m:oMath>
      <w:r w:rsidR="00FF798A">
        <w:rPr>
          <w:rFonts w:ascii="Times New Roman" w:eastAsiaTheme="minorEastAsia" w:hAnsi="Times New Roman" w:cs="Times New Roman"/>
          <w:sz w:val="22"/>
          <w:szCs w:val="22"/>
        </w:rPr>
        <w:t xml:space="preserve">, while in PSCs 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the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OC</m:t>
            </m:r>
          </m:sub>
        </m:sSub>
      </m:oMath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is dominantly </w:t>
      </w:r>
      <w:r w:rsidR="00156D1A">
        <w:rPr>
          <w:rFonts w:ascii="Times New Roman" w:eastAsiaTheme="minorEastAsia" w:hAnsi="Times New Roman" w:cs="Times New Roman"/>
          <w:sz w:val="22"/>
          <w:szCs w:val="22"/>
        </w:rPr>
        <w:t>decreased</w:t>
      </w:r>
      <w:r w:rsidR="00FF798A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851D6A" w:rsidRPr="00851D6A">
        <w:t xml:space="preserve"> </w:t>
      </w:r>
      <w:r w:rsidR="00851D6A" w:rsidRPr="00851D6A">
        <w:rPr>
          <w:rFonts w:ascii="Times New Roman" w:eastAsiaTheme="minorEastAsia" w:hAnsi="Times New Roman" w:cs="Times New Roman"/>
          <w:sz w:val="22"/>
          <w:szCs w:val="22"/>
        </w:rPr>
        <w:t>This indicates different operating mechanisms between OSC</w:t>
      </w:r>
      <w:r w:rsidR="00851D6A">
        <w:rPr>
          <w:rFonts w:ascii="Times New Roman" w:eastAsiaTheme="minorEastAsia" w:hAnsi="Times New Roman" w:cs="Times New Roman"/>
          <w:sz w:val="22"/>
          <w:szCs w:val="22"/>
        </w:rPr>
        <w:t>s</w:t>
      </w:r>
      <w:r w:rsidR="00851D6A" w:rsidRPr="00851D6A">
        <w:rPr>
          <w:rFonts w:ascii="Times New Roman" w:eastAsiaTheme="minorEastAsia" w:hAnsi="Times New Roman" w:cs="Times New Roman"/>
          <w:sz w:val="22"/>
          <w:szCs w:val="22"/>
        </w:rPr>
        <w:t xml:space="preserve"> and PSC</w:t>
      </w:r>
      <w:r w:rsidR="00851D6A">
        <w:rPr>
          <w:rFonts w:ascii="Times New Roman" w:eastAsiaTheme="minorEastAsia" w:hAnsi="Times New Roman" w:cs="Times New Roman"/>
          <w:sz w:val="22"/>
          <w:szCs w:val="22"/>
        </w:rPr>
        <w:t>s</w:t>
      </w:r>
      <w:r w:rsidR="00851D6A" w:rsidRPr="00851D6A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851D6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E116A5">
        <w:rPr>
          <w:rFonts w:ascii="Times New Roman" w:hAnsi="Times New Roman" w:cs="Times New Roman"/>
          <w:sz w:val="22"/>
          <w:szCs w:val="22"/>
        </w:rPr>
        <w:t>I</w:t>
      </w:r>
      <w:r w:rsidR="009906EA">
        <w:rPr>
          <w:rFonts w:ascii="Times New Roman" w:hAnsi="Times New Roman" w:cs="Times New Roman"/>
          <w:sz w:val="22"/>
          <w:szCs w:val="22"/>
        </w:rPr>
        <w:t xml:space="preserve">n the case of </w:t>
      </w:r>
      <w:r w:rsidR="00E116A5">
        <w:rPr>
          <w:rFonts w:ascii="Times New Roman" w:hAnsi="Times New Roman" w:cs="Times New Roman"/>
          <w:sz w:val="22"/>
          <w:szCs w:val="22"/>
        </w:rPr>
        <w:t>OSCs</w:t>
      </w:r>
      <w:r w:rsidR="009906EA">
        <w:rPr>
          <w:rFonts w:ascii="Times New Roman" w:hAnsi="Times New Roman" w:cs="Times New Roman"/>
          <w:sz w:val="22"/>
          <w:szCs w:val="22"/>
        </w:rPr>
        <w:t xml:space="preserve"> stronger influence of SRH recombination begins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  <w:vertAlign w:val="subscript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  <w:vertAlign w:val="subscript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2"/>
            <w:szCs w:val="22"/>
            <w:vertAlign w:val="subscript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15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and total degradation of the device starts at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2"/>
            <w:szCs w:val="22"/>
          </w:rPr>
          <m:t>=</m:t>
        </m:r>
        <m:r>
          <w:rPr>
            <w:rFonts w:ascii="Cambria Math" w:eastAsiaTheme="minorEastAsia" w:hAnsi="Cambria Math" w:cs="Times New Roman"/>
            <w:sz w:val="22"/>
            <w:szCs w:val="22"/>
          </w:rPr>
          <m:t>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17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, while in the case of </w:t>
      </w:r>
      <w:r w:rsidR="00E116A5">
        <w:rPr>
          <w:rFonts w:ascii="Times New Roman" w:eastAsiaTheme="minorEastAsia" w:hAnsi="Times New Roman" w:cs="Times New Roman"/>
          <w:sz w:val="22"/>
          <w:szCs w:val="22"/>
        </w:rPr>
        <w:t>PSCs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stronger influence of SRH recombination begins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at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17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and total degradation of the device starts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 xml:space="preserve"> at</w:t>
      </w:r>
      <w:r w:rsidR="009906E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2"/>
            <w:szCs w:val="22"/>
            <w:vertAlign w:val="subscript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19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</m:t>
            </m:r>
          </m:sup>
        </m:sSup>
      </m:oMath>
      <w:r w:rsidR="009906EA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E116A5" w:rsidRPr="00E116A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E116A5" w:rsidRPr="00FF798A">
        <w:rPr>
          <w:rFonts w:ascii="Times New Roman" w:eastAsiaTheme="minorEastAsia" w:hAnsi="Times New Roman" w:cs="Times New Roman"/>
          <w:sz w:val="22"/>
          <w:szCs w:val="22"/>
        </w:rPr>
        <w:t>The model was validated by successfully reproducing a</w:t>
      </w:r>
      <w:r w:rsidR="00E116A5">
        <w:rPr>
          <w:rFonts w:ascii="Times New Roman" w:eastAsiaTheme="minorEastAsia" w:hAnsi="Times New Roman" w:cs="Times New Roman"/>
          <w:sz w:val="22"/>
          <w:szCs w:val="22"/>
        </w:rPr>
        <w:t xml:space="preserve"> PSCs</w:t>
      </w:r>
      <w:r w:rsidR="00E116A5" w:rsidRPr="00FF798A">
        <w:rPr>
          <w:rFonts w:ascii="Times New Roman" w:eastAsiaTheme="minorEastAsia" w:hAnsi="Times New Roman" w:cs="Times New Roman"/>
          <w:sz w:val="22"/>
          <w:szCs w:val="22"/>
        </w:rPr>
        <w:t xml:space="preserve"> J-V curve </w:t>
      </w:r>
      <w:r w:rsidR="005D0C23">
        <w:rPr>
          <w:rFonts w:ascii="Times New Roman" w:eastAsiaTheme="minorEastAsia" w:hAnsi="Times New Roman" w:cs="Times New Roman"/>
          <w:sz w:val="22"/>
          <w:szCs w:val="22"/>
        </w:rPr>
        <w:t>taken from</w:t>
      </w:r>
      <w:r w:rsidR="00E116A5" w:rsidRPr="00FF798A">
        <w:rPr>
          <w:rFonts w:ascii="Times New Roman" w:eastAsiaTheme="minorEastAsia" w:hAnsi="Times New Roman" w:cs="Times New Roman"/>
          <w:sz w:val="22"/>
          <w:szCs w:val="22"/>
        </w:rPr>
        <w:t xml:space="preserve"> the literature.</w:t>
      </w:r>
    </w:p>
    <w:p w14:paraId="1AB27230" w14:textId="77777777" w:rsidR="00482844" w:rsidRDefault="00482844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AD34A1E" w14:textId="77777777" w:rsidR="00EE1D8B" w:rsidRDefault="00482844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ACKNOWLEDGEMENT: This work was financially supported by the Ministry of Science, Technological Development and Innovation of the Republic of Serbia under contract number: 451-03-137/2025-03/200103.</w:t>
      </w:r>
      <w:r w:rsidR="00EE1D8B" w:rsidRPr="002850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CF40F5" w14:textId="77777777" w:rsidR="00482844" w:rsidRPr="00285088" w:rsidRDefault="00482844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7FBCB98" w14:textId="77777777" w:rsidR="006F3A8E" w:rsidRDefault="00EE1D8B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REFERENCES:</w:t>
      </w:r>
    </w:p>
    <w:p w14:paraId="11BE8932" w14:textId="2D5BF975" w:rsidR="004F7414" w:rsidRDefault="00D37876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="0068273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] </w:t>
      </w:r>
      <w:r w:rsidR="0001022E">
        <w:rPr>
          <w:rFonts w:ascii="Times New Roman" w:hAnsi="Times New Roman" w:cs="Times New Roman"/>
          <w:sz w:val="22"/>
          <w:szCs w:val="22"/>
        </w:rPr>
        <w:t>D. Li, L. Song</w:t>
      </w:r>
      <w:r w:rsidR="00B93B26">
        <w:rPr>
          <w:rFonts w:ascii="Times New Roman" w:hAnsi="Times New Roman" w:cs="Times New Roman"/>
          <w:sz w:val="22"/>
          <w:szCs w:val="22"/>
        </w:rPr>
        <w:t>,</w:t>
      </w:r>
      <w:r w:rsidR="0001022E">
        <w:rPr>
          <w:rFonts w:ascii="Times New Roman" w:hAnsi="Times New Roman" w:cs="Times New Roman"/>
          <w:sz w:val="22"/>
          <w:szCs w:val="22"/>
        </w:rPr>
        <w:t xml:space="preserve"> et al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1022E">
        <w:rPr>
          <w:rFonts w:ascii="Times New Roman" w:hAnsi="Times New Roman" w:cs="Times New Roman"/>
          <w:sz w:val="22"/>
          <w:szCs w:val="22"/>
        </w:rPr>
        <w:t>Adv. Sci.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1022E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, (</w:t>
      </w:r>
      <w:r w:rsidR="0001022E"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5A20A1F" w14:textId="77777777" w:rsidR="00BB7287" w:rsidRDefault="00EE2723" w:rsidP="00EE1D8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="0068273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] A. </w:t>
      </w:r>
      <w:proofErr w:type="spellStart"/>
      <w:r>
        <w:rPr>
          <w:rFonts w:ascii="Times New Roman" w:hAnsi="Times New Roman" w:cs="Times New Roman"/>
          <w:sz w:val="22"/>
          <w:szCs w:val="22"/>
        </w:rPr>
        <w:t>Khalf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J. </w:t>
      </w:r>
      <w:proofErr w:type="spellStart"/>
      <w:r>
        <w:rPr>
          <w:rFonts w:ascii="Times New Roman" w:hAnsi="Times New Roman" w:cs="Times New Roman"/>
          <w:sz w:val="22"/>
          <w:szCs w:val="22"/>
        </w:rPr>
        <w:t>Gojanović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N. </w:t>
      </w:r>
      <w:proofErr w:type="spellStart"/>
      <w:r>
        <w:rPr>
          <w:rFonts w:ascii="Times New Roman" w:hAnsi="Times New Roman" w:cs="Times New Roman"/>
          <w:sz w:val="22"/>
          <w:szCs w:val="22"/>
        </w:rPr>
        <w:t>Ćirović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et al, IEEE J. </w:t>
      </w:r>
      <w:proofErr w:type="spellStart"/>
      <w:r>
        <w:rPr>
          <w:rFonts w:ascii="Times New Roman" w:hAnsi="Times New Roman" w:cs="Times New Roman"/>
          <w:sz w:val="22"/>
          <w:szCs w:val="22"/>
        </w:rPr>
        <w:t>Photovol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10, 514, (2020) </w:t>
      </w:r>
    </w:p>
    <w:sectPr w:rsidR="00BB7287" w:rsidSect="004A13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1D05C" w14:textId="77777777" w:rsidR="004730AA" w:rsidRDefault="004730AA" w:rsidP="00454847">
      <w:pPr>
        <w:spacing w:after="0" w:line="240" w:lineRule="auto"/>
      </w:pPr>
      <w:r>
        <w:separator/>
      </w:r>
    </w:p>
  </w:endnote>
  <w:endnote w:type="continuationSeparator" w:id="0">
    <w:p w14:paraId="37CAE7AB" w14:textId="77777777" w:rsidR="004730AA" w:rsidRDefault="004730AA" w:rsidP="0045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0838" w14:textId="77777777" w:rsidR="00454847" w:rsidRPr="003E478F" w:rsidRDefault="00454847">
    <w:pPr>
      <w:pStyle w:val="Footer"/>
      <w:rPr>
        <w:rFonts w:ascii="Times New Roman" w:hAnsi="Times New Roman" w:cs="Times New Roman"/>
        <w:b/>
        <w:bCs/>
        <w:sz w:val="22"/>
        <w:szCs w:val="22"/>
        <w:lang w:val="en-GB"/>
      </w:rPr>
    </w:pPr>
    <w:r w:rsidRPr="00454847">
      <w:rPr>
        <w:rFonts w:ascii="Times New Roman" w:hAnsi="Times New Roman" w:cs="Times New Roman"/>
        <w:sz w:val="22"/>
        <w:szCs w:val="22"/>
      </w:rPr>
      <w:t xml:space="preserve">ORCID: </w:t>
    </w:r>
    <w:r w:rsidR="00135AF1">
      <w:rPr>
        <w:rFonts w:ascii="Times New Roman" w:hAnsi="Times New Roman" w:cs="Times New Roman"/>
        <w:sz w:val="22"/>
        <w:szCs w:val="22"/>
      </w:rPr>
      <w:t>J.G</w:t>
    </w:r>
    <w:r w:rsidR="00135AF1" w:rsidRPr="003E478F">
      <w:rPr>
        <w:rFonts w:ascii="Times New Roman" w:hAnsi="Times New Roman" w:cs="Times New Roman"/>
        <w:sz w:val="22"/>
        <w:szCs w:val="22"/>
      </w:rPr>
      <w:t xml:space="preserve">. </w:t>
    </w:r>
    <w:r w:rsidR="003E478F" w:rsidRPr="003E478F">
      <w:rPr>
        <w:rFonts w:ascii="Times New Roman" w:hAnsi="Times New Roman" w:cs="Times New Roman"/>
        <w:sz w:val="22"/>
        <w:szCs w:val="22"/>
        <w:lang w:val="en-GB"/>
      </w:rPr>
      <w:t>0000-0002-4893-1926</w:t>
    </w:r>
    <w:r w:rsidR="00135AF1">
      <w:rPr>
        <w:rFonts w:ascii="Times New Roman" w:hAnsi="Times New Roman" w:cs="Times New Roman"/>
        <w:sz w:val="22"/>
        <w:szCs w:val="22"/>
      </w:rPr>
      <w:t xml:space="preserve">, </w:t>
    </w:r>
    <w:r w:rsidRPr="00454847">
      <w:rPr>
        <w:rFonts w:ascii="Times New Roman" w:hAnsi="Times New Roman" w:cs="Times New Roman"/>
        <w:sz w:val="22"/>
        <w:szCs w:val="22"/>
      </w:rPr>
      <w:t>P. M</w:t>
    </w:r>
    <w:r>
      <w:rPr>
        <w:rFonts w:ascii="Times New Roman" w:hAnsi="Times New Roman" w:cs="Times New Roman"/>
        <w:sz w:val="22"/>
        <w:szCs w:val="22"/>
      </w:rPr>
      <w:t xml:space="preserve">. 0000-0001-6635-515 </w:t>
    </w:r>
  </w:p>
  <w:p w14:paraId="043C21C4" w14:textId="77777777" w:rsidR="00454847" w:rsidRPr="00454847" w:rsidRDefault="00454847">
    <w:pPr>
      <w:pStyle w:val="Foo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</w:t>
    </w:r>
    <w:r>
      <w:rPr>
        <w:rFonts w:ascii="Times New Roman" w:hAnsi="Times New Roman" w:cs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C17A" w14:textId="77777777" w:rsidR="004730AA" w:rsidRDefault="004730AA" w:rsidP="00454847">
      <w:pPr>
        <w:spacing w:after="0" w:line="240" w:lineRule="auto"/>
      </w:pPr>
      <w:r>
        <w:separator/>
      </w:r>
    </w:p>
  </w:footnote>
  <w:footnote w:type="continuationSeparator" w:id="0">
    <w:p w14:paraId="52B9F792" w14:textId="77777777" w:rsidR="004730AA" w:rsidRDefault="004730AA" w:rsidP="00454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8B"/>
    <w:rsid w:val="0001022E"/>
    <w:rsid w:val="00044013"/>
    <w:rsid w:val="000A2F78"/>
    <w:rsid w:val="00135AF1"/>
    <w:rsid w:val="001369C9"/>
    <w:rsid w:val="00137671"/>
    <w:rsid w:val="00156D1A"/>
    <w:rsid w:val="00185523"/>
    <w:rsid w:val="001A062E"/>
    <w:rsid w:val="002155F7"/>
    <w:rsid w:val="00240D19"/>
    <w:rsid w:val="0027308A"/>
    <w:rsid w:val="00282600"/>
    <w:rsid w:val="00293ECC"/>
    <w:rsid w:val="002A79BD"/>
    <w:rsid w:val="00333F4C"/>
    <w:rsid w:val="003B265B"/>
    <w:rsid w:val="003E478F"/>
    <w:rsid w:val="003E4A01"/>
    <w:rsid w:val="00405F4A"/>
    <w:rsid w:val="00424D32"/>
    <w:rsid w:val="00454847"/>
    <w:rsid w:val="00463405"/>
    <w:rsid w:val="004730AA"/>
    <w:rsid w:val="00482844"/>
    <w:rsid w:val="004A1332"/>
    <w:rsid w:val="004B263E"/>
    <w:rsid w:val="004F0A8F"/>
    <w:rsid w:val="004F7414"/>
    <w:rsid w:val="004F7E95"/>
    <w:rsid w:val="00581ADB"/>
    <w:rsid w:val="005B6A3C"/>
    <w:rsid w:val="005D0C23"/>
    <w:rsid w:val="00610460"/>
    <w:rsid w:val="00612BD8"/>
    <w:rsid w:val="0064270A"/>
    <w:rsid w:val="0068273D"/>
    <w:rsid w:val="00691453"/>
    <w:rsid w:val="006A3203"/>
    <w:rsid w:val="006A583C"/>
    <w:rsid w:val="006F3A8E"/>
    <w:rsid w:val="00770AA4"/>
    <w:rsid w:val="007A399C"/>
    <w:rsid w:val="007C03BB"/>
    <w:rsid w:val="007E7398"/>
    <w:rsid w:val="00842C8F"/>
    <w:rsid w:val="00851D6A"/>
    <w:rsid w:val="008C44C1"/>
    <w:rsid w:val="009906EA"/>
    <w:rsid w:val="009C3DDA"/>
    <w:rsid w:val="009C4235"/>
    <w:rsid w:val="00A206C1"/>
    <w:rsid w:val="00A721FA"/>
    <w:rsid w:val="00A9035A"/>
    <w:rsid w:val="00AE3629"/>
    <w:rsid w:val="00B02CF6"/>
    <w:rsid w:val="00B404D2"/>
    <w:rsid w:val="00B56F4C"/>
    <w:rsid w:val="00B93B26"/>
    <w:rsid w:val="00BB7287"/>
    <w:rsid w:val="00BF7823"/>
    <w:rsid w:val="00C023B7"/>
    <w:rsid w:val="00C50C29"/>
    <w:rsid w:val="00C95611"/>
    <w:rsid w:val="00D35091"/>
    <w:rsid w:val="00D36CCD"/>
    <w:rsid w:val="00D37876"/>
    <w:rsid w:val="00D44275"/>
    <w:rsid w:val="00DB5901"/>
    <w:rsid w:val="00DC5C81"/>
    <w:rsid w:val="00DF5489"/>
    <w:rsid w:val="00E116A5"/>
    <w:rsid w:val="00E12175"/>
    <w:rsid w:val="00EB797D"/>
    <w:rsid w:val="00EC454F"/>
    <w:rsid w:val="00EE1D8B"/>
    <w:rsid w:val="00EE2723"/>
    <w:rsid w:val="00F17B72"/>
    <w:rsid w:val="00F33571"/>
    <w:rsid w:val="00F9155F"/>
    <w:rsid w:val="00FB2F0C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C14D"/>
  <w15:docId w15:val="{5AB32B02-0079-4DDF-BDC2-046B5DCC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8B"/>
  </w:style>
  <w:style w:type="paragraph" w:styleId="Heading1">
    <w:name w:val="heading 1"/>
    <w:basedOn w:val="Normal"/>
    <w:next w:val="Normal"/>
    <w:link w:val="Heading1Char"/>
    <w:uiPriority w:val="9"/>
    <w:qFormat/>
    <w:rsid w:val="00EE1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1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D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D8B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A062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5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47"/>
  </w:style>
  <w:style w:type="paragraph" w:styleId="Footer">
    <w:name w:val="footer"/>
    <w:basedOn w:val="Normal"/>
    <w:link w:val="FooterChar"/>
    <w:uiPriority w:val="99"/>
    <w:unhideWhenUsed/>
    <w:rsid w:val="0045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47"/>
  </w:style>
  <w:style w:type="paragraph" w:styleId="BalloonText">
    <w:name w:val="Balloon Text"/>
    <w:basedOn w:val="Normal"/>
    <w:link w:val="BalloonTextChar"/>
    <w:uiPriority w:val="99"/>
    <w:semiHidden/>
    <w:unhideWhenUsed/>
    <w:rsid w:val="00B5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243193m@student.etf.bg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 Арбутина</dc:creator>
  <cp:lastModifiedBy>Никола Арбутина</cp:lastModifiedBy>
  <cp:revision>3</cp:revision>
  <dcterms:created xsi:type="dcterms:W3CDTF">2025-06-22T19:39:00Z</dcterms:created>
  <dcterms:modified xsi:type="dcterms:W3CDTF">2025-06-22T19:47:00Z</dcterms:modified>
</cp:coreProperties>
</file>