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1A8" w:rsidRDefault="00D7611E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302F">
        <w:rPr>
          <w:b/>
          <w:sz w:val="28"/>
          <w:szCs w:val="28"/>
        </w:rPr>
        <w:t xml:space="preserve">Inverse Design for Femtosecond-Laser Photonic Surfaces with </w:t>
      </w:r>
      <w:r>
        <w:rPr>
          <w:b/>
          <w:sz w:val="28"/>
          <w:szCs w:val="28"/>
        </w:rPr>
        <w:t xml:space="preserve">Direct </w:t>
      </w:r>
      <w:r w:rsidRPr="00B2302F">
        <w:rPr>
          <w:b/>
          <w:sz w:val="28"/>
          <w:szCs w:val="28"/>
        </w:rPr>
        <w:t>Gradient Optimi</w:t>
      </w:r>
      <w:r>
        <w:rPr>
          <w:b/>
          <w:sz w:val="28"/>
          <w:szCs w:val="28"/>
        </w:rPr>
        <w:t>z</w:t>
      </w:r>
      <w:r w:rsidRPr="00B2302F">
        <w:rPr>
          <w:b/>
          <w:sz w:val="28"/>
          <w:szCs w:val="28"/>
        </w:rPr>
        <w:t>ation</w:t>
      </w:r>
    </w:p>
    <w:p w:rsidR="00D7611E" w:rsidRDefault="00D7611E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7611E" w:rsidRPr="00D7611E" w:rsidRDefault="00D7611E" w:rsidP="00D761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7611E">
        <w:rPr>
          <w:sz w:val="22"/>
          <w:szCs w:val="22"/>
          <w:u w:val="single"/>
        </w:rPr>
        <w:t>A. Haboub</w:t>
      </w:r>
      <w:r w:rsidRPr="00D7611E">
        <w:rPr>
          <w:sz w:val="22"/>
          <w:szCs w:val="22"/>
          <w:vertAlign w:val="superscript"/>
        </w:rPr>
        <w:t>1*</w:t>
      </w:r>
      <w:r w:rsidRPr="00D7611E">
        <w:rPr>
          <w:sz w:val="22"/>
          <w:szCs w:val="22"/>
        </w:rPr>
        <w:t xml:space="preserve">, A. Khelif </w:t>
      </w:r>
      <w:r w:rsidRPr="00D7611E">
        <w:rPr>
          <w:sz w:val="22"/>
          <w:szCs w:val="22"/>
          <w:vertAlign w:val="superscript"/>
        </w:rPr>
        <w:t>2</w:t>
      </w:r>
      <w:r w:rsidRPr="00D7611E">
        <w:rPr>
          <w:sz w:val="22"/>
          <w:szCs w:val="22"/>
        </w:rPr>
        <w:t>, and B. Aissa</w:t>
      </w:r>
      <w:r w:rsidRPr="00D7611E">
        <w:rPr>
          <w:sz w:val="22"/>
          <w:szCs w:val="22"/>
          <w:vertAlign w:val="superscript"/>
        </w:rPr>
        <w:t>1</w:t>
      </w:r>
    </w:p>
    <w:p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7611E">
        <w:rPr>
          <w:i/>
          <w:iCs/>
          <w:sz w:val="20"/>
          <w:szCs w:val="20"/>
          <w:vertAlign w:val="superscript"/>
        </w:rPr>
        <w:t>1</w:t>
      </w:r>
      <w:r w:rsidRPr="00D7611E">
        <w:rPr>
          <w:i/>
          <w:iCs/>
          <w:sz w:val="20"/>
          <w:szCs w:val="20"/>
        </w:rPr>
        <w:t xml:space="preserve"> Qatar Environment and Energy Research Institute, Materials Center, </w:t>
      </w:r>
    </w:p>
    <w:p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7611E">
        <w:rPr>
          <w:i/>
          <w:iCs/>
          <w:sz w:val="20"/>
          <w:szCs w:val="20"/>
        </w:rPr>
        <w:t>Hamad Bin Khalifa University, Doha, Qatar.</w:t>
      </w:r>
    </w:p>
    <w:p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7611E">
        <w:rPr>
          <w:i/>
          <w:iCs/>
          <w:sz w:val="20"/>
          <w:szCs w:val="20"/>
          <w:vertAlign w:val="superscript"/>
        </w:rPr>
        <w:t>2</w:t>
      </w:r>
      <w:r w:rsidRPr="00D7611E">
        <w:rPr>
          <w:i/>
          <w:iCs/>
          <w:sz w:val="20"/>
          <w:szCs w:val="20"/>
        </w:rPr>
        <w:t xml:space="preserve"> College of Science and Engineering, Hamad Bin Khalifa University, Doha, Qatar.</w:t>
      </w:r>
    </w:p>
    <w:p w:rsidR="003E0534" w:rsidRDefault="004E3764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D7611E" w:rsidRPr="00D7611E">
        <w:rPr>
          <w:sz w:val="20"/>
          <w:szCs w:val="20"/>
        </w:rPr>
        <w:t>amhaboub@hbku.edu.qa</w:t>
      </w:r>
    </w:p>
    <w:p w:rsidR="00D7611E" w:rsidRDefault="00D7611E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611E" w:rsidRP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>The inverse design of photonic surfaces produced by high-throughput femtosecond laser processing is limited by a strongly non-linear, many-to-one mapping from laser parameters (power, speed, hatch spacing) to the resulting optical spectrum. Tandem Neural Networks (TNNs) mitigate this ill-posedness by pairing a forward surrogate with a separately trained inverse network, but they still rely on artificial noise injection to uncover diverse solutions and still explore the design space only sparsely. We propose Direct Gradient Optimization (DGO), a single-network alternative that treats the pre-trained forward surrogate as a differentiable proxy for the laser–material interaction and back-propagates errors all the way to the process parameters. This strategy (</w:t>
      </w:r>
      <w:proofErr w:type="spellStart"/>
      <w:r w:rsidRPr="00D7611E">
        <w:rPr>
          <w:sz w:val="22"/>
          <w:szCs w:val="22"/>
        </w:rPr>
        <w:t>i</w:t>
      </w:r>
      <w:proofErr w:type="spellEnd"/>
      <w:r w:rsidRPr="00D7611E">
        <w:rPr>
          <w:sz w:val="22"/>
          <w:szCs w:val="22"/>
        </w:rPr>
        <w:t xml:space="preserve">) eliminates inverse-model training, (ii) allows the embedding of practical constraints such as laser-power penalties to be encoded directly in the loss function, and (iii) yields transparent sensitivity information through native gradients and SHapley Additive exPlanations (SHAP). </w:t>
      </w:r>
    </w:p>
    <w:p w:rsidR="00D7611E" w:rsidRP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3BD2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>Two optimization modes are assessed: a single-start DGO and a parallel multi-start “Tournament” DGO that launches multiple random seeds, runs a brief qualification phase, and refines only the five most promising candidates. Across 10000+ inverse-design tasks, Tournament-DGO cuts the average spectral root-mean-squared error (RMSE) from 1.29 % (best TNN) to 0.70 %, and boosts design novelty (quantified by the Normalized Euclidean Parameter Distance, NEPD) from 0.26 to 0.38. A SHAP-based meta-analysis shows that convergence is dominated by the initial hatch spacing, explaining why broad sampling followed by pruning addresses this sensitivity.</w:t>
      </w:r>
      <w:r>
        <w:rPr>
          <w:sz w:val="22"/>
          <w:szCs w:val="22"/>
        </w:rPr>
        <w:t xml:space="preserve"> </w:t>
      </w:r>
      <w:r w:rsidRPr="00D7611E">
        <w:rPr>
          <w:sz w:val="22"/>
          <w:szCs w:val="22"/>
        </w:rPr>
        <w:t>DGO delivers state-of-the-art accuracy, enhanced robustness, and diverse inverse solution without noise heuristics or extra model training. Its ability to embed manufacturability constraints directly in the optimization loop establishes a powerful, energy-aware platform for scalable photonic devices, thermal emitters, and meta surfaces.</w:t>
      </w:r>
    </w:p>
    <w:p w:rsidR="00887745" w:rsidRDefault="00C55C27" w:rsidP="00D7611E">
      <w:pPr>
        <w:autoSpaceDE w:val="0"/>
        <w:autoSpaceDN w:val="0"/>
        <w:adjustRightInd w:val="0"/>
        <w:jc w:val="center"/>
        <w:rPr>
          <w:noProof/>
          <w:color w:val="000000"/>
        </w:rPr>
      </w:pPr>
      <w:r w:rsidRPr="00D7611E">
        <w:rPr>
          <w:noProof/>
          <w:color w:val="000000"/>
        </w:rPr>
        <w:drawing>
          <wp:inline distT="0" distB="0" distL="0" distR="0">
            <wp:extent cx="4836160" cy="21964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1E" w:rsidRDefault="00D7611E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530BA" w:rsidRPr="00CA358E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D7611E" w:rsidRPr="00D7611E">
        <w:rPr>
          <w:sz w:val="20"/>
          <w:szCs w:val="20"/>
        </w:rPr>
        <w:t>Comparison of TNN (left) and DGO (right) across 10,000+ inverse-design tasks. Points show spectral RMSE vs design novelty (NEPD). DGO achieves lower mean error (0.70\% vs 1.29\%) and higher novelty (0.38 vs 0.26)</w:t>
      </w:r>
      <w:r>
        <w:rPr>
          <w:sz w:val="20"/>
          <w:szCs w:val="20"/>
          <w:lang w:val="sr-Latn-CS"/>
        </w:rPr>
        <w:t>.</w:t>
      </w: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 xml:space="preserve">[1] M. Park, L. </w:t>
      </w:r>
      <w:proofErr w:type="spellStart"/>
      <w:r w:rsidRPr="00D7611E">
        <w:rPr>
          <w:sz w:val="22"/>
          <w:szCs w:val="22"/>
        </w:rPr>
        <w:t>Grbčić</w:t>
      </w:r>
      <w:proofErr w:type="spellEnd"/>
      <w:r w:rsidRPr="00D7611E">
        <w:rPr>
          <w:sz w:val="22"/>
          <w:szCs w:val="22"/>
        </w:rPr>
        <w:t xml:space="preserve">, et al., Adv. Sci. 11(26), 2401951 (2024). </w:t>
      </w:r>
    </w:p>
    <w:p w:rsidR="00CC429D" w:rsidRPr="00E23BD2" w:rsidRDefault="00D7611E" w:rsidP="00D761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611E">
        <w:rPr>
          <w:sz w:val="22"/>
          <w:szCs w:val="22"/>
        </w:rPr>
        <w:t xml:space="preserve">[2] L. </w:t>
      </w:r>
      <w:proofErr w:type="spellStart"/>
      <w:r w:rsidRPr="00D7611E">
        <w:rPr>
          <w:sz w:val="22"/>
          <w:szCs w:val="22"/>
        </w:rPr>
        <w:t>Grbčić</w:t>
      </w:r>
      <w:proofErr w:type="spellEnd"/>
      <w:r w:rsidRPr="00D7611E">
        <w:rPr>
          <w:sz w:val="22"/>
          <w:szCs w:val="22"/>
        </w:rPr>
        <w:t xml:space="preserve">, M. Park, et al., </w:t>
      </w:r>
      <w:proofErr w:type="spellStart"/>
      <w:r w:rsidRPr="00D7611E">
        <w:rPr>
          <w:sz w:val="22"/>
          <w:szCs w:val="22"/>
        </w:rPr>
        <w:t>npj</w:t>
      </w:r>
      <w:proofErr w:type="spellEnd"/>
      <w:r w:rsidRPr="00D7611E">
        <w:rPr>
          <w:sz w:val="22"/>
          <w:szCs w:val="22"/>
        </w:rPr>
        <w:t xml:space="preserve"> </w:t>
      </w:r>
      <w:proofErr w:type="spellStart"/>
      <w:r w:rsidRPr="00D7611E">
        <w:rPr>
          <w:sz w:val="22"/>
          <w:szCs w:val="22"/>
        </w:rPr>
        <w:t>Comput</w:t>
      </w:r>
      <w:proofErr w:type="spellEnd"/>
      <w:r w:rsidRPr="00D7611E">
        <w:rPr>
          <w:sz w:val="22"/>
          <w:szCs w:val="22"/>
        </w:rPr>
        <w:t>. Mater. 11(1), 35 (2025).</w:t>
      </w:r>
    </w:p>
    <w:sectPr w:rsidR="00CC429D" w:rsidRPr="00E23BD2" w:rsidSect="006A6C19">
      <w:footerReference w:type="default" r:id="rId7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AB0" w:rsidRDefault="007B1AB0" w:rsidP="003C5D01">
      <w:r>
        <w:separator/>
      </w:r>
    </w:p>
  </w:endnote>
  <w:endnote w:type="continuationSeparator" w:id="0">
    <w:p w:rsidR="007B1AB0" w:rsidRDefault="007B1AB0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5D01" w:rsidRDefault="003C5D01">
    <w:pPr>
      <w:pStyle w:val="Footer"/>
    </w:pPr>
    <w:r w:rsidRPr="003C5D01">
      <w:t>ORCID:</w:t>
    </w:r>
    <w:r w:rsidR="00F23558">
      <w:t xml:space="preserve"> </w:t>
    </w:r>
    <w:r w:rsidR="00D7611E">
      <w:t>A</w:t>
    </w:r>
    <w:r w:rsidR="00F23558">
      <w:t>.</w:t>
    </w:r>
    <w:r w:rsidR="00D7611E">
      <w:t>H</w:t>
    </w:r>
    <w:r w:rsidR="00F23558">
      <w:t>.</w:t>
    </w:r>
    <w:r w:rsidRPr="003C5D01">
      <w:t xml:space="preserve"> </w:t>
    </w:r>
    <w:r w:rsidR="00D7611E" w:rsidRPr="00D7611E">
      <w:t>0000-0002-0766-2272</w:t>
    </w:r>
    <w:r w:rsidRPr="003C5D01">
      <w:t xml:space="preserve">, </w:t>
    </w:r>
    <w:r w:rsidR="00D7611E">
      <w:t>A</w:t>
    </w:r>
    <w:r w:rsidR="00F23558">
      <w:t>.</w:t>
    </w:r>
    <w:r w:rsidR="00D7611E">
      <w:t>K</w:t>
    </w:r>
    <w:r w:rsidR="00F23558">
      <w:t xml:space="preserve">. </w:t>
    </w:r>
    <w:r w:rsidR="00B30CDA" w:rsidRPr="00B30CDA">
      <w:t>0000-0001-8712-824X</w:t>
    </w:r>
    <w:r w:rsidR="00B30CDA">
      <w:t xml:space="preserve">, B.A. </w:t>
    </w:r>
    <w:r w:rsidR="00B30CDA" w:rsidRPr="00B30CDA">
      <w:t>0000-0002-4768-9891</w:t>
    </w:r>
  </w:p>
  <w:p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AB0" w:rsidRDefault="007B1AB0" w:rsidP="003C5D01">
      <w:r>
        <w:separator/>
      </w:r>
    </w:p>
  </w:footnote>
  <w:footnote w:type="continuationSeparator" w:id="0">
    <w:p w:rsidR="007B1AB0" w:rsidRDefault="007B1AB0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7E31"/>
    <w:rsid w:val="00050DC8"/>
    <w:rsid w:val="000A3267"/>
    <w:rsid w:val="000D5EFF"/>
    <w:rsid w:val="000E24E1"/>
    <w:rsid w:val="0010060E"/>
    <w:rsid w:val="0016793B"/>
    <w:rsid w:val="0019259C"/>
    <w:rsid w:val="001C4C2D"/>
    <w:rsid w:val="001E5803"/>
    <w:rsid w:val="002344D6"/>
    <w:rsid w:val="00284FA3"/>
    <w:rsid w:val="002D3E49"/>
    <w:rsid w:val="00336A61"/>
    <w:rsid w:val="003949BB"/>
    <w:rsid w:val="003B0B4A"/>
    <w:rsid w:val="003C5D01"/>
    <w:rsid w:val="003E0534"/>
    <w:rsid w:val="003E78D2"/>
    <w:rsid w:val="004A6CAC"/>
    <w:rsid w:val="004E3764"/>
    <w:rsid w:val="005243C5"/>
    <w:rsid w:val="005C083B"/>
    <w:rsid w:val="005E0E65"/>
    <w:rsid w:val="00614221"/>
    <w:rsid w:val="006316BB"/>
    <w:rsid w:val="00634539"/>
    <w:rsid w:val="006A6C19"/>
    <w:rsid w:val="006C1B0C"/>
    <w:rsid w:val="006F1839"/>
    <w:rsid w:val="00701D93"/>
    <w:rsid w:val="00731D38"/>
    <w:rsid w:val="007714E1"/>
    <w:rsid w:val="00787C90"/>
    <w:rsid w:val="00792253"/>
    <w:rsid w:val="007A4A40"/>
    <w:rsid w:val="007B1AB0"/>
    <w:rsid w:val="00817F14"/>
    <w:rsid w:val="00887745"/>
    <w:rsid w:val="00933B5B"/>
    <w:rsid w:val="00937560"/>
    <w:rsid w:val="009530BA"/>
    <w:rsid w:val="009659F3"/>
    <w:rsid w:val="0098310E"/>
    <w:rsid w:val="00991AF1"/>
    <w:rsid w:val="009E1E5E"/>
    <w:rsid w:val="00A64658"/>
    <w:rsid w:val="00AB49CF"/>
    <w:rsid w:val="00AF194F"/>
    <w:rsid w:val="00B11BE6"/>
    <w:rsid w:val="00B215E4"/>
    <w:rsid w:val="00B30CDA"/>
    <w:rsid w:val="00B95BFF"/>
    <w:rsid w:val="00BF5067"/>
    <w:rsid w:val="00C31D69"/>
    <w:rsid w:val="00C50B12"/>
    <w:rsid w:val="00C55C27"/>
    <w:rsid w:val="00C96B61"/>
    <w:rsid w:val="00CC429D"/>
    <w:rsid w:val="00CD7FD3"/>
    <w:rsid w:val="00D32527"/>
    <w:rsid w:val="00D7611E"/>
    <w:rsid w:val="00E23BD2"/>
    <w:rsid w:val="00E2743A"/>
    <w:rsid w:val="00EC5B27"/>
    <w:rsid w:val="00EC6F4C"/>
    <w:rsid w:val="00F04C82"/>
    <w:rsid w:val="00F23558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E4C95"/>
  <w15:chartTrackingRefBased/>
  <w15:docId w15:val="{9F6E9645-46C2-4671-9F9C-0CACA1A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76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Amine Haboub</cp:lastModifiedBy>
  <cp:revision>2</cp:revision>
  <cp:lastPrinted>2007-04-17T11:39:00Z</cp:lastPrinted>
  <dcterms:created xsi:type="dcterms:W3CDTF">2025-07-20T21:38:00Z</dcterms:created>
  <dcterms:modified xsi:type="dcterms:W3CDTF">2025-07-20T21:38:00Z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