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vertAlign w:val="baseline"/>
        </w:rPr>
      </w:pPr>
      <w:r w:rsidDel="00000000" w:rsidR="00000000" w:rsidRPr="00000000">
        <w:rPr>
          <w:b w:val="1"/>
          <w:sz w:val="28"/>
          <w:szCs w:val="28"/>
          <w:rtl w:val="0"/>
        </w:rPr>
        <w:t xml:space="preserve">Self-consistent approach to quantum dynamics of photoinduced electronic excitations in molecular aggregates</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2">
      <w:pPr>
        <w:jc w:val="center"/>
        <w:rPr>
          <w:sz w:val="22"/>
          <w:szCs w:val="22"/>
          <w:vertAlign w:val="baseline"/>
        </w:rPr>
      </w:pPr>
      <w:r w:rsidDel="00000000" w:rsidR="00000000" w:rsidRPr="00000000">
        <w:rPr>
          <w:rtl w:val="0"/>
        </w:rPr>
      </w:r>
    </w:p>
    <w:p w:rsidR="00000000" w:rsidDel="00000000" w:rsidP="00000000" w:rsidRDefault="00000000" w:rsidRPr="00000000" w14:paraId="00000003">
      <w:pPr>
        <w:jc w:val="center"/>
        <w:rPr>
          <w:sz w:val="16"/>
          <w:szCs w:val="16"/>
          <w:vertAlign w:val="baseline"/>
        </w:rPr>
      </w:pPr>
      <w:r w:rsidDel="00000000" w:rsidR="00000000" w:rsidRPr="00000000">
        <w:rPr>
          <w:sz w:val="22"/>
          <w:szCs w:val="22"/>
          <w:u w:val="single"/>
          <w:rtl w:val="0"/>
        </w:rPr>
        <w:t xml:space="preserve">Veljko</w:t>
      </w:r>
      <w:r w:rsidDel="00000000" w:rsidR="00000000" w:rsidRPr="00000000">
        <w:rPr>
          <w:sz w:val="22"/>
          <w:szCs w:val="22"/>
          <w:u w:val="single"/>
          <w:vertAlign w:val="baseline"/>
          <w:rtl w:val="0"/>
        </w:rPr>
        <w:t xml:space="preserve"> </w:t>
      </w:r>
      <w:r w:rsidDel="00000000" w:rsidR="00000000" w:rsidRPr="00000000">
        <w:rPr>
          <w:sz w:val="22"/>
          <w:szCs w:val="22"/>
          <w:u w:val="single"/>
          <w:rtl w:val="0"/>
        </w:rPr>
        <w:t xml:space="preserve">Jank</w:t>
      </w:r>
      <w:r w:rsidDel="00000000" w:rsidR="00000000" w:rsidRPr="00000000">
        <w:rPr>
          <w:sz w:val="22"/>
          <w:szCs w:val="22"/>
          <w:u w:val="single"/>
          <w:vertAlign w:val="baseline"/>
          <w:rtl w:val="0"/>
        </w:rPr>
        <w:t xml:space="preserve">ovic</w:t>
      </w:r>
      <w:r w:rsidDel="00000000" w:rsidR="00000000" w:rsidRPr="00000000">
        <w:rPr>
          <w:sz w:val="16"/>
          <w:szCs w:val="16"/>
          <w:vertAlign w:val="superscript"/>
          <w:rtl w:val="0"/>
        </w:rPr>
        <w:t xml:space="preserve">1</w:t>
      </w:r>
      <w:r w:rsidDel="00000000" w:rsidR="00000000" w:rsidRPr="00000000">
        <w:rPr>
          <w:sz w:val="22"/>
          <w:szCs w:val="22"/>
          <w:rtl w:val="0"/>
        </w:rPr>
        <w:t xml:space="preserve"> and</w:t>
      </w:r>
      <w:r w:rsidDel="00000000" w:rsidR="00000000" w:rsidRPr="00000000">
        <w:rPr>
          <w:sz w:val="22"/>
          <w:szCs w:val="22"/>
          <w:vertAlign w:val="baseline"/>
          <w:rtl w:val="0"/>
        </w:rPr>
        <w:t xml:space="preserve"> </w:t>
      </w:r>
      <w:r w:rsidDel="00000000" w:rsidR="00000000" w:rsidRPr="00000000">
        <w:rPr>
          <w:sz w:val="22"/>
          <w:szCs w:val="22"/>
          <w:rtl w:val="0"/>
        </w:rPr>
        <w:t xml:space="preserve">Tomas</w:t>
      </w:r>
      <w:r w:rsidDel="00000000" w:rsidR="00000000" w:rsidRPr="00000000">
        <w:rPr>
          <w:sz w:val="22"/>
          <w:szCs w:val="22"/>
          <w:vertAlign w:val="baseline"/>
          <w:rtl w:val="0"/>
        </w:rPr>
        <w:t xml:space="preserve"> </w:t>
      </w:r>
      <w:r w:rsidDel="00000000" w:rsidR="00000000" w:rsidRPr="00000000">
        <w:rPr>
          <w:sz w:val="22"/>
          <w:szCs w:val="22"/>
          <w:rtl w:val="0"/>
        </w:rPr>
        <w:t xml:space="preserve">Mancal</w:t>
      </w:r>
      <w:r w:rsidDel="00000000" w:rsidR="00000000" w:rsidRPr="00000000">
        <w:rPr>
          <w:sz w:val="16"/>
          <w:szCs w:val="16"/>
          <w:vertAlign w:val="superscript"/>
          <w:rtl w:val="0"/>
        </w:rPr>
        <w:t xml:space="preserve">2</w:t>
      </w:r>
      <w:r w:rsidDel="00000000" w:rsidR="00000000" w:rsidRPr="00000000">
        <w:rPr>
          <w:rtl w:val="0"/>
        </w:rPr>
      </w:r>
    </w:p>
    <w:p w:rsidR="00000000" w:rsidDel="00000000" w:rsidP="00000000" w:rsidRDefault="00000000" w:rsidRPr="00000000" w14:paraId="00000004">
      <w:pPr>
        <w:jc w:val="center"/>
        <w:rPr>
          <w:i w:val="0"/>
          <w:sz w:val="20"/>
          <w:szCs w:val="20"/>
          <w:vertAlign w:val="baseline"/>
        </w:rPr>
      </w:pPr>
      <w:r w:rsidDel="00000000" w:rsidR="00000000" w:rsidRPr="00000000">
        <w:rPr>
          <w:sz w:val="14"/>
          <w:szCs w:val="14"/>
          <w:vertAlign w:val="superscript"/>
          <w:rtl w:val="0"/>
        </w:rPr>
        <w:t xml:space="preserve">1</w:t>
      </w:r>
      <w:r w:rsidDel="00000000" w:rsidR="00000000" w:rsidRPr="00000000">
        <w:rPr>
          <w:i w:val="1"/>
          <w:sz w:val="20"/>
          <w:szCs w:val="20"/>
          <w:rtl w:val="0"/>
        </w:rPr>
        <w:t xml:space="preserve">Institute of Physics Belgrade, University of Belgrade, Serbia</w:t>
      </w:r>
      <w:r w:rsidDel="00000000" w:rsidR="00000000" w:rsidRPr="00000000">
        <w:rPr>
          <w:rtl w:val="0"/>
        </w:rPr>
      </w:r>
    </w:p>
    <w:p w:rsidR="00000000" w:rsidDel="00000000" w:rsidP="00000000" w:rsidRDefault="00000000" w:rsidRPr="00000000" w14:paraId="00000005">
      <w:pPr>
        <w:jc w:val="center"/>
        <w:rPr>
          <w:i w:val="0"/>
          <w:sz w:val="20"/>
          <w:szCs w:val="20"/>
          <w:vertAlign w:val="baseline"/>
        </w:rPr>
      </w:pPr>
      <w:r w:rsidDel="00000000" w:rsidR="00000000" w:rsidRPr="00000000">
        <w:rPr>
          <w:sz w:val="14"/>
          <w:szCs w:val="14"/>
          <w:vertAlign w:val="superscript"/>
          <w:rtl w:val="0"/>
        </w:rPr>
        <w:t xml:space="preserve">2</w:t>
      </w:r>
      <w:r w:rsidDel="00000000" w:rsidR="00000000" w:rsidRPr="00000000">
        <w:rPr>
          <w:i w:val="1"/>
          <w:sz w:val="20"/>
          <w:szCs w:val="20"/>
          <w:rtl w:val="0"/>
        </w:rPr>
        <w:t xml:space="preserve">Faculty of Mathematics and Physics, Charles University, Prague, Czechia</w:t>
      </w:r>
      <w:r w:rsidDel="00000000" w:rsidR="00000000" w:rsidRPr="00000000">
        <w:rPr>
          <w:rtl w:val="0"/>
        </w:rPr>
      </w:r>
    </w:p>
    <w:p w:rsidR="00000000" w:rsidDel="00000000" w:rsidP="00000000" w:rsidRDefault="00000000" w:rsidRPr="00000000" w14:paraId="00000006">
      <w:pPr>
        <w:jc w:val="center"/>
        <w:rPr>
          <w:sz w:val="20"/>
          <w:szCs w:val="20"/>
          <w:vertAlign w:val="baseline"/>
        </w:rPr>
      </w:pPr>
      <w:r w:rsidDel="00000000" w:rsidR="00000000" w:rsidRPr="00000000">
        <w:rPr>
          <w:sz w:val="20"/>
          <w:szCs w:val="20"/>
          <w:vertAlign w:val="baseline"/>
          <w:rtl w:val="0"/>
        </w:rPr>
        <w:t xml:space="preserve">e-mail: </w:t>
      </w:r>
      <w:r w:rsidDel="00000000" w:rsidR="00000000" w:rsidRPr="00000000">
        <w:rPr>
          <w:sz w:val="20"/>
          <w:szCs w:val="20"/>
          <w:rtl w:val="0"/>
        </w:rPr>
        <w:t xml:space="preserve">veljko.jankovic</w:t>
      </w:r>
      <w:r w:rsidDel="00000000" w:rsidR="00000000" w:rsidRPr="00000000">
        <w:rPr>
          <w:sz w:val="20"/>
          <w:szCs w:val="20"/>
          <w:vertAlign w:val="baseline"/>
          <w:rtl w:val="0"/>
        </w:rPr>
        <w:t xml:space="preserve">@</w:t>
      </w:r>
      <w:r w:rsidDel="00000000" w:rsidR="00000000" w:rsidRPr="00000000">
        <w:rPr>
          <w:sz w:val="20"/>
          <w:szCs w:val="20"/>
          <w:rtl w:val="0"/>
        </w:rPr>
        <w:t xml:space="preserve">ipb.ac</w:t>
      </w:r>
      <w:r w:rsidDel="00000000" w:rsidR="00000000" w:rsidRPr="00000000">
        <w:rPr>
          <w:sz w:val="20"/>
          <w:szCs w:val="20"/>
          <w:vertAlign w:val="baseline"/>
          <w:rtl w:val="0"/>
        </w:rPr>
        <w:t xml:space="preserve">.rs</w:t>
      </w:r>
    </w:p>
    <w:p w:rsidR="00000000" w:rsidDel="00000000" w:rsidP="00000000" w:rsidRDefault="00000000" w:rsidRPr="00000000" w14:paraId="00000007">
      <w:pPr>
        <w:ind w:firstLine="284"/>
        <w:jc w:val="both"/>
        <w:rPr>
          <w:sz w:val="20"/>
          <w:szCs w:val="20"/>
          <w:vertAlign w:val="baseline"/>
        </w:rPr>
      </w:pPr>
      <w:r w:rsidDel="00000000" w:rsidR="00000000" w:rsidRPr="00000000">
        <w:rPr>
          <w:rtl w:val="0"/>
        </w:rPr>
      </w:r>
    </w:p>
    <w:p w:rsidR="00000000" w:rsidDel="00000000" w:rsidP="00000000" w:rsidRDefault="00000000" w:rsidRPr="00000000" w14:paraId="00000008">
      <w:pPr>
        <w:jc w:val="both"/>
        <w:rPr>
          <w:sz w:val="22"/>
          <w:szCs w:val="22"/>
          <w:vertAlign w:val="baseline"/>
        </w:rPr>
      </w:pPr>
      <w:r w:rsidDel="00000000" w:rsidR="00000000" w:rsidRPr="00000000">
        <w:rPr>
          <w:rtl w:val="0"/>
        </w:rPr>
      </w:r>
    </w:p>
    <w:p w:rsidR="00000000" w:rsidDel="00000000" w:rsidP="00000000" w:rsidRDefault="00000000" w:rsidRPr="00000000" w14:paraId="00000009">
      <w:pPr>
        <w:jc w:val="both"/>
        <w:rPr>
          <w:sz w:val="22"/>
          <w:szCs w:val="22"/>
        </w:rPr>
      </w:pPr>
      <w:r w:rsidDel="00000000" w:rsidR="00000000" w:rsidRPr="00000000">
        <w:rPr>
          <w:sz w:val="22"/>
          <w:szCs w:val="22"/>
          <w:rtl w:val="0"/>
        </w:rPr>
        <w:t xml:space="preserve">Further progress in fundamental understanding of the initial steps of solar-energy conversion in both natural and artificial systems requires computationally inexpensive yet reasonably accurate methods for quantum dynamics of photoinduced electronic excitations in molecular aggregates immersed in structured bosonic environments.</w:t>
      </w:r>
    </w:p>
    <w:p w:rsidR="00000000" w:rsidDel="00000000" w:rsidP="00000000" w:rsidRDefault="00000000" w:rsidRPr="00000000" w14:paraId="0000000A">
      <w:pPr>
        <w:ind w:firstLine="284"/>
        <w:jc w:val="both"/>
        <w:rPr>
          <w:sz w:val="22"/>
          <w:szCs w:val="22"/>
          <w:vertAlign w:val="baseline"/>
        </w:rPr>
      </w:pPr>
      <w:r w:rsidDel="00000000" w:rsidR="00000000" w:rsidRPr="00000000">
        <w:rPr>
          <w:rtl w:val="0"/>
        </w:rPr>
      </w:r>
    </w:p>
    <w:p w:rsidR="00000000" w:rsidDel="00000000" w:rsidP="00000000" w:rsidRDefault="00000000" w:rsidRPr="00000000" w14:paraId="0000000B">
      <w:pPr>
        <w:jc w:val="both"/>
        <w:rPr>
          <w:sz w:val="22"/>
          <w:szCs w:val="22"/>
        </w:rPr>
      </w:pPr>
      <w:r w:rsidDel="00000000" w:rsidR="00000000" w:rsidRPr="00000000">
        <w:rPr>
          <w:sz w:val="22"/>
          <w:szCs w:val="22"/>
          <w:rtl w:val="0"/>
        </w:rPr>
        <w:t xml:space="preserve">Starting from the memory kernel in Born approximation, and recognizing the quantum master equation as the Dyson equation of Green’s functions theory, we formulate the self-consistent Born approximation (SCBA) to resum the memory-kernel perturbation series in powers of the exciton–environment interaction [1]. Our SCBA is formulated in the Liouville space and frequency domain, and it handles arbitrary spectral densities of the interaction.</w:t>
      </w:r>
      <w:r w:rsidDel="00000000" w:rsidR="00000000" w:rsidRPr="00000000">
        <w:rPr>
          <w:rtl w:val="0"/>
        </w:rPr>
      </w:r>
    </w:p>
    <w:p w:rsidR="00000000" w:rsidDel="00000000" w:rsidP="00000000" w:rsidRDefault="00000000" w:rsidRPr="00000000" w14:paraId="0000000C">
      <w:pPr>
        <w:ind w:firstLine="284"/>
        <w:jc w:val="both"/>
        <w:rPr>
          <w:sz w:val="22"/>
          <w:szCs w:val="22"/>
          <w:vertAlign w:val="baseline"/>
        </w:rPr>
      </w:pPr>
      <w:r w:rsidDel="00000000" w:rsidR="00000000" w:rsidRPr="00000000">
        <w:rPr>
          <w:rtl w:val="0"/>
        </w:rPr>
      </w:r>
    </w:p>
    <w:p w:rsidR="00000000" w:rsidDel="00000000" w:rsidP="00000000" w:rsidRDefault="00000000" w:rsidRPr="00000000" w14:paraId="0000000D">
      <w:pPr>
        <w:jc w:val="both"/>
        <w:rPr>
          <w:sz w:val="22"/>
          <w:szCs w:val="22"/>
        </w:rPr>
      </w:pPr>
      <w:r w:rsidDel="00000000" w:rsidR="00000000" w:rsidRPr="00000000">
        <w:rPr>
          <w:sz w:val="22"/>
          <w:szCs w:val="22"/>
          <w:rtl w:val="0"/>
        </w:rPr>
        <w:t xml:space="preserve">In a molecular dimer coupled to an overdamped oscillator environment, we find that the SCBA reproduces the true dynamics of excitons generated by an ultrashort laser pulse very well even in the most challenging regimes of strong interactions, slow environments, and low temperatures. While the SCBA is good (poor) at describing energy transfer modulated by an underdamped vibration resonant (off-resonant) with the exciton energy gap, we find it reasonably describes light-triggered exciton dynamics in the seven-site model of the Fenna–Matthews–Olson complex in a realistic environment comprising both an overdamped continuum and underdamped vibrations.</w:t>
      </w:r>
    </w:p>
    <w:p w:rsidR="00000000" w:rsidDel="00000000" w:rsidP="00000000" w:rsidRDefault="00000000" w:rsidRPr="00000000" w14:paraId="0000000E">
      <w:pPr>
        <w:jc w:val="both"/>
        <w:rPr>
          <w:sz w:val="22"/>
          <w:szCs w:val="22"/>
          <w:vertAlign w:val="baseline"/>
        </w:rPr>
      </w:pPr>
      <w:r w:rsidDel="00000000" w:rsidR="00000000" w:rsidRPr="00000000">
        <w:rPr>
          <w:rtl w:val="0"/>
        </w:rPr>
      </w:r>
    </w:p>
    <w:p w:rsidR="00000000" w:rsidDel="00000000" w:rsidP="00000000" w:rsidRDefault="00000000" w:rsidRPr="00000000" w14:paraId="0000000F">
      <w:pPr>
        <w:jc w:val="both"/>
        <w:rPr>
          <w:sz w:val="22"/>
          <w:szCs w:val="22"/>
          <w:vertAlign w:val="baseline"/>
        </w:rPr>
      </w:pPr>
      <w:r w:rsidDel="00000000" w:rsidR="00000000" w:rsidRPr="00000000">
        <w:rPr>
          <w:rtl w:val="0"/>
        </w:rPr>
      </w:r>
    </w:p>
    <w:p w:rsidR="00000000" w:rsidDel="00000000" w:rsidP="00000000" w:rsidRDefault="00000000" w:rsidRPr="00000000" w14:paraId="00000010">
      <w:pPr>
        <w:jc w:val="both"/>
        <w:rPr>
          <w:sz w:val="22"/>
          <w:szCs w:val="22"/>
          <w:vertAlign w:val="baseline"/>
        </w:rPr>
      </w:pPr>
      <w:r w:rsidDel="00000000" w:rsidR="00000000" w:rsidRPr="00000000">
        <w:rPr>
          <w:sz w:val="22"/>
          <w:szCs w:val="22"/>
          <w:vertAlign w:val="baseline"/>
          <w:rtl w:val="0"/>
        </w:rPr>
        <w:t xml:space="preserve">REFERENCES</w:t>
      </w:r>
    </w:p>
    <w:p w:rsidR="00000000" w:rsidDel="00000000" w:rsidP="00000000" w:rsidRDefault="00000000" w:rsidRPr="00000000" w14:paraId="00000011">
      <w:pPr>
        <w:jc w:val="both"/>
        <w:rPr>
          <w:sz w:val="20"/>
          <w:szCs w:val="20"/>
          <w:vertAlign w:val="baseline"/>
        </w:rPr>
      </w:pPr>
      <w:r w:rsidDel="00000000" w:rsidR="00000000" w:rsidRPr="00000000">
        <w:rPr>
          <w:sz w:val="22"/>
          <w:szCs w:val="22"/>
          <w:vertAlign w:val="baseline"/>
          <w:rtl w:val="0"/>
        </w:rPr>
        <w:t xml:space="preserve">[1] </w:t>
      </w:r>
      <w:r w:rsidDel="00000000" w:rsidR="00000000" w:rsidRPr="00000000">
        <w:rPr>
          <w:sz w:val="22"/>
          <w:szCs w:val="22"/>
          <w:rtl w:val="0"/>
        </w:rPr>
        <w:t xml:space="preserve">V. Jankovic and</w:t>
      </w:r>
      <w:r w:rsidDel="00000000" w:rsidR="00000000" w:rsidRPr="00000000">
        <w:rPr>
          <w:sz w:val="22"/>
          <w:szCs w:val="22"/>
          <w:vertAlign w:val="baseline"/>
          <w:rtl w:val="0"/>
        </w:rPr>
        <w:t xml:space="preserve"> T. </w:t>
      </w:r>
      <w:r w:rsidDel="00000000" w:rsidR="00000000" w:rsidRPr="00000000">
        <w:rPr>
          <w:sz w:val="22"/>
          <w:szCs w:val="22"/>
          <w:rtl w:val="0"/>
        </w:rPr>
        <w:t xml:space="preserve">Mancal</w:t>
      </w:r>
      <w:r w:rsidDel="00000000" w:rsidR="00000000" w:rsidRPr="00000000">
        <w:rPr>
          <w:sz w:val="22"/>
          <w:szCs w:val="22"/>
          <w:vertAlign w:val="baseline"/>
          <w:rtl w:val="0"/>
        </w:rPr>
        <w:t xml:space="preserve">, J. Chem. Phys. </w:t>
      </w:r>
      <w:r w:rsidDel="00000000" w:rsidR="00000000" w:rsidRPr="00000000">
        <w:rPr>
          <w:sz w:val="22"/>
          <w:szCs w:val="22"/>
          <w:rtl w:val="0"/>
        </w:rPr>
        <w:t xml:space="preserve">161</w:t>
      </w:r>
      <w:r w:rsidDel="00000000" w:rsidR="00000000" w:rsidRPr="00000000">
        <w:rPr>
          <w:sz w:val="22"/>
          <w:szCs w:val="22"/>
          <w:vertAlign w:val="baseline"/>
          <w:rtl w:val="0"/>
        </w:rPr>
        <w:t xml:space="preserve">, </w:t>
      </w:r>
      <w:r w:rsidDel="00000000" w:rsidR="00000000" w:rsidRPr="00000000">
        <w:rPr>
          <w:sz w:val="22"/>
          <w:szCs w:val="22"/>
          <w:rtl w:val="0"/>
        </w:rPr>
        <w:t xml:space="preserve">204108</w:t>
      </w:r>
      <w:r w:rsidDel="00000000" w:rsidR="00000000" w:rsidRPr="00000000">
        <w:rPr>
          <w:sz w:val="22"/>
          <w:szCs w:val="22"/>
          <w:vertAlign w:val="baseline"/>
          <w:rtl w:val="0"/>
        </w:rPr>
        <w:t xml:space="preserve"> (20</w:t>
      </w:r>
      <w:r w:rsidDel="00000000" w:rsidR="00000000" w:rsidRPr="00000000">
        <w:rPr>
          <w:sz w:val="22"/>
          <w:szCs w:val="22"/>
          <w:rtl w:val="0"/>
        </w:rPr>
        <w:t xml:space="preserve">24</w:t>
      </w:r>
      <w:r w:rsidDel="00000000" w:rsidR="00000000" w:rsidRPr="00000000">
        <w:rPr>
          <w:sz w:val="22"/>
          <w:szCs w:val="22"/>
          <w:vertAlign w:val="baseline"/>
          <w:rtl w:val="0"/>
        </w:rPr>
        <w:t xml:space="preserve">).</w:t>
      </w:r>
      <w:r w:rsidDel="00000000" w:rsidR="00000000" w:rsidRPr="00000000">
        <w:rPr>
          <w:rtl w:val="0"/>
        </w:rPr>
      </w:r>
    </w:p>
    <w:sectPr>
      <w:footerReference r:id="rId7" w:type="default"/>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ORCID: </w:t>
    </w:r>
    <w:r w:rsidDel="00000000" w:rsidR="00000000" w:rsidRPr="00000000">
      <w:rPr>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0000-0002-0297-2167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0000-0003-1736-3054</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US" w:val="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4eyQhGqneN5pqL6Gw203cOCQ==">CgMxLjA4AHIhMWNlV2t6RVFJMkIyb3dHRjNPTVBkX1V5bm5uTTh3NndK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2025-02-18T10:56:00Z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str>dc35672bcca9db0709714a0f380a680672d9c2fd5105a567e7e9fa5b3e5b06cc</vt:lpstr>
  </property>
</Properties>
</file>