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C9B7" w14:textId="7091F577" w:rsidR="00B935C4" w:rsidRDefault="00E332E2" w:rsidP="00B935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Dependence of </w:t>
      </w:r>
      <w:r w:rsidR="009C0B85">
        <w:rPr>
          <w:b/>
          <w:sz w:val="28"/>
          <w:szCs w:val="28"/>
        </w:rPr>
        <w:t>Transport Parameters on</w:t>
      </w:r>
      <w:r w:rsidR="00B935C4">
        <w:rPr>
          <w:b/>
          <w:sz w:val="28"/>
          <w:szCs w:val="28"/>
        </w:rPr>
        <w:t xml:space="preserve"> </w:t>
      </w:r>
      <w:r w:rsidR="00BA059C">
        <w:rPr>
          <w:b/>
          <w:sz w:val="28"/>
          <w:szCs w:val="28"/>
        </w:rPr>
        <w:t xml:space="preserve">Interface </w:t>
      </w:r>
      <w:r w:rsidR="009C0B85">
        <w:rPr>
          <w:b/>
          <w:sz w:val="28"/>
          <w:szCs w:val="28"/>
        </w:rPr>
        <w:t xml:space="preserve">Composition Diffusion and Doping Segregation in </w:t>
      </w:r>
      <w:r w:rsidR="00E92E2C">
        <w:rPr>
          <w:b/>
          <w:sz w:val="28"/>
          <w:szCs w:val="28"/>
        </w:rPr>
        <w:t>L</w:t>
      </w:r>
      <w:r w:rsidR="00B3658A">
        <w:rPr>
          <w:b/>
          <w:sz w:val="28"/>
          <w:szCs w:val="28"/>
        </w:rPr>
        <w:t>ongitudinal Optical Pho</w:t>
      </w:r>
      <w:r w:rsidR="00E42142">
        <w:rPr>
          <w:b/>
          <w:sz w:val="28"/>
          <w:szCs w:val="28"/>
        </w:rPr>
        <w:t>n</w:t>
      </w:r>
      <w:r w:rsidR="00B3658A">
        <w:rPr>
          <w:b/>
          <w:sz w:val="28"/>
          <w:szCs w:val="28"/>
        </w:rPr>
        <w:t>on</w:t>
      </w:r>
      <w:r w:rsidR="00E92E2C">
        <w:rPr>
          <w:b/>
          <w:sz w:val="28"/>
          <w:szCs w:val="28"/>
        </w:rPr>
        <w:t>, B</w:t>
      </w:r>
      <w:r w:rsidR="00B3658A">
        <w:rPr>
          <w:b/>
          <w:sz w:val="28"/>
          <w:szCs w:val="28"/>
        </w:rPr>
        <w:t>ound to</w:t>
      </w:r>
      <w:r w:rsidR="0062677A">
        <w:rPr>
          <w:b/>
          <w:sz w:val="28"/>
          <w:szCs w:val="28"/>
        </w:rPr>
        <w:t xml:space="preserve"> </w:t>
      </w:r>
      <w:r w:rsidR="00B3658A">
        <w:rPr>
          <w:b/>
          <w:sz w:val="28"/>
          <w:szCs w:val="28"/>
        </w:rPr>
        <w:t>Continuum</w:t>
      </w:r>
      <w:r w:rsidR="00E92E2C">
        <w:rPr>
          <w:b/>
          <w:sz w:val="28"/>
          <w:szCs w:val="28"/>
        </w:rPr>
        <w:t xml:space="preserve"> and Hybrid </w:t>
      </w:r>
      <w:r w:rsidR="00DA3F6E">
        <w:rPr>
          <w:b/>
          <w:sz w:val="28"/>
          <w:szCs w:val="28"/>
        </w:rPr>
        <w:t xml:space="preserve">THz </w:t>
      </w:r>
      <w:r w:rsidR="00E92E2C">
        <w:rPr>
          <w:b/>
          <w:sz w:val="28"/>
          <w:szCs w:val="28"/>
        </w:rPr>
        <w:t xml:space="preserve">Quantum Cascade Laser </w:t>
      </w:r>
      <w:r w:rsidR="009C0B85">
        <w:rPr>
          <w:b/>
          <w:sz w:val="28"/>
          <w:szCs w:val="28"/>
        </w:rPr>
        <w:t>Designs</w:t>
      </w:r>
    </w:p>
    <w:p w14:paraId="1C435B95" w14:textId="552720AA" w:rsidR="00B935C4" w:rsidRDefault="00B935C4" w:rsidP="00B935C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F1D1E65" w14:textId="62F9BEC2" w:rsidR="00B935C4" w:rsidRPr="00B935C4" w:rsidRDefault="00B935C4" w:rsidP="00B935C4">
      <w:pPr>
        <w:pStyle w:val="PaperAuthor"/>
        <w:spacing w:before="0" w:after="0"/>
        <w:rPr>
          <w:sz w:val="22"/>
        </w:rPr>
      </w:pPr>
      <w:r w:rsidRPr="00B935C4">
        <w:rPr>
          <w:sz w:val="22"/>
          <w:u w:val="single"/>
        </w:rPr>
        <w:t>Novak Stanojević</w:t>
      </w:r>
      <w:r>
        <w:rPr>
          <w:sz w:val="22"/>
          <w:vertAlign w:val="superscript"/>
        </w:rPr>
        <w:t>1</w:t>
      </w:r>
      <w:r w:rsidRPr="00B935C4">
        <w:rPr>
          <w:sz w:val="22"/>
          <w:vertAlign w:val="superscript"/>
        </w:rPr>
        <w:t>,</w:t>
      </w:r>
      <w:r>
        <w:rPr>
          <w:sz w:val="22"/>
          <w:vertAlign w:val="superscript"/>
        </w:rPr>
        <w:t xml:space="preserve"> 2</w:t>
      </w:r>
      <w:r w:rsidRPr="00B935C4">
        <w:rPr>
          <w:sz w:val="22"/>
        </w:rPr>
        <w:t>, Aleksandar Demić</w:t>
      </w:r>
      <w:r>
        <w:rPr>
          <w:sz w:val="22"/>
          <w:vertAlign w:val="superscript"/>
        </w:rPr>
        <w:t>3</w:t>
      </w:r>
      <w:r w:rsidRPr="00B935C4">
        <w:rPr>
          <w:sz w:val="22"/>
        </w:rPr>
        <w:t>, Nikola Vuković</w:t>
      </w:r>
      <w:r>
        <w:rPr>
          <w:sz w:val="22"/>
          <w:vertAlign w:val="superscript"/>
        </w:rPr>
        <w:t>1</w:t>
      </w:r>
      <w:r w:rsidRPr="00B935C4">
        <w:rPr>
          <w:sz w:val="22"/>
        </w:rPr>
        <w:t>, Dragan Indjin</w:t>
      </w:r>
      <w:r>
        <w:rPr>
          <w:sz w:val="22"/>
          <w:vertAlign w:val="superscript"/>
        </w:rPr>
        <w:t>3</w:t>
      </w:r>
      <w:r w:rsidRPr="00B935C4">
        <w:rPr>
          <w:sz w:val="22"/>
        </w:rPr>
        <w:t xml:space="preserve"> and Jelena Radovanović</w:t>
      </w:r>
      <w:r>
        <w:rPr>
          <w:sz w:val="22"/>
          <w:vertAlign w:val="superscript"/>
        </w:rPr>
        <w:t>1</w:t>
      </w:r>
    </w:p>
    <w:p w14:paraId="7B23FC87" w14:textId="62F14E00" w:rsidR="00B935C4" w:rsidRDefault="00B935C4" w:rsidP="00B935C4">
      <w:pPr>
        <w:pStyle w:val="AuthorAffiliation"/>
      </w:pPr>
      <w:r>
        <w:rPr>
          <w:vertAlign w:val="superscript"/>
        </w:rPr>
        <w:t>1</w:t>
      </w:r>
      <w:r w:rsidRPr="0099371D">
        <w:t xml:space="preserve"> </w:t>
      </w:r>
      <w:r w:rsidRPr="000938C3">
        <w:t>School of Electrical Engi</w:t>
      </w:r>
      <w:r>
        <w:t>neering, University of Belgrade, Serbia</w:t>
      </w:r>
    </w:p>
    <w:p w14:paraId="2E9BC034" w14:textId="5A79B362" w:rsidR="00B935C4" w:rsidRDefault="00B935C4" w:rsidP="00B935C4">
      <w:pPr>
        <w:pStyle w:val="AuthorAffiliation"/>
      </w:pPr>
      <w:r>
        <w:rPr>
          <w:vertAlign w:val="superscript"/>
        </w:rPr>
        <w:t>2</w:t>
      </w:r>
      <w:r w:rsidRPr="0099371D">
        <w:t xml:space="preserve"> </w:t>
      </w:r>
      <w:r>
        <w:t>Vlatacom Institute of High Technologies, Belgrade, Serbia</w:t>
      </w:r>
    </w:p>
    <w:p w14:paraId="282959CB" w14:textId="7A158327" w:rsidR="00B935C4" w:rsidRDefault="00B935C4" w:rsidP="00B935C4">
      <w:pPr>
        <w:pStyle w:val="AuthorAffiliation"/>
      </w:pPr>
      <w:r>
        <w:rPr>
          <w:vertAlign w:val="superscript"/>
        </w:rPr>
        <w:t>3</w:t>
      </w:r>
      <w:r w:rsidRPr="0099371D">
        <w:t xml:space="preserve"> </w:t>
      </w:r>
      <w:r w:rsidRPr="0049514E">
        <w:rPr>
          <w:rFonts w:eastAsiaTheme="minorHAnsi"/>
          <w:lang w:val="sr-Latn-RS"/>
        </w:rPr>
        <w:t>School of Electronic and Electrical Engineering, University of Leeds, UK</w:t>
      </w:r>
    </w:p>
    <w:p w14:paraId="55667E7C" w14:textId="77777777" w:rsidR="002046F3" w:rsidRDefault="00B935C4" w:rsidP="0030000E">
      <w:pPr>
        <w:autoSpaceDE w:val="0"/>
        <w:autoSpaceDN w:val="0"/>
        <w:adjustRightInd w:val="0"/>
        <w:jc w:val="center"/>
        <w:rPr>
          <w:sz w:val="20"/>
          <w:szCs w:val="20"/>
          <w:lang w:val="sr-Latn-RS"/>
        </w:rPr>
      </w:pPr>
      <w:r>
        <w:rPr>
          <w:sz w:val="20"/>
          <w:szCs w:val="20"/>
        </w:rPr>
        <w:t>e-mail:novakstanojevic1@</w:t>
      </w:r>
      <w:r>
        <w:rPr>
          <w:sz w:val="20"/>
          <w:szCs w:val="20"/>
          <w:lang w:val="sr-Latn-RS"/>
        </w:rPr>
        <w:t>gmail.com</w:t>
      </w:r>
    </w:p>
    <w:p w14:paraId="10DF43BE" w14:textId="77777777" w:rsidR="00EE0740" w:rsidRDefault="00EE0740" w:rsidP="0030000E">
      <w:pPr>
        <w:autoSpaceDE w:val="0"/>
        <w:autoSpaceDN w:val="0"/>
        <w:adjustRightInd w:val="0"/>
        <w:rPr>
          <w:sz w:val="20"/>
          <w:szCs w:val="20"/>
        </w:rPr>
      </w:pPr>
    </w:p>
    <w:p w14:paraId="64C1A4B4" w14:textId="77777777" w:rsidR="00DD1F9B" w:rsidRPr="0030000E" w:rsidRDefault="00DD1F9B" w:rsidP="0030000E">
      <w:pPr>
        <w:autoSpaceDE w:val="0"/>
        <w:autoSpaceDN w:val="0"/>
        <w:adjustRightInd w:val="0"/>
        <w:rPr>
          <w:sz w:val="20"/>
          <w:szCs w:val="20"/>
        </w:rPr>
      </w:pPr>
    </w:p>
    <w:p w14:paraId="078B7A1A" w14:textId="6C8E7D06" w:rsidR="001D41F2" w:rsidRPr="00675629" w:rsidRDefault="00DD1F9B" w:rsidP="00D75562">
      <w:pPr>
        <w:pStyle w:val="Reference"/>
        <w:ind w:left="0" w:firstLine="0"/>
        <w:rPr>
          <w:sz w:val="22"/>
          <w:szCs w:val="16"/>
        </w:rPr>
      </w:pPr>
      <w:r>
        <w:rPr>
          <w:bCs/>
          <w:noProof/>
          <w:sz w:val="16"/>
          <w:szCs w:val="16"/>
          <w:lang w:val="sr-Latn-RS" w:eastAsia="sr-Latn-RS"/>
        </w:rPr>
        <w:drawing>
          <wp:anchor distT="0" distB="0" distL="114300" distR="114300" simplePos="0" relativeHeight="251720704" behindDoc="0" locked="0" layoutInCell="1" allowOverlap="1" wp14:anchorId="73EE1774" wp14:editId="500596E3">
            <wp:simplePos x="0" y="0"/>
            <wp:positionH relativeFrom="column">
              <wp:posOffset>3225165</wp:posOffset>
            </wp:positionH>
            <wp:positionV relativeFrom="paragraph">
              <wp:posOffset>2359660</wp:posOffset>
            </wp:positionV>
            <wp:extent cx="2224405" cy="2998470"/>
            <wp:effectExtent l="0" t="6032" r="0" b="0"/>
            <wp:wrapTopAndBottom/>
            <wp:docPr id="1955176801" name="Picture 3" descr="A picture containing text, diagram, line, plo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76801" name="Picture 3" descr="A picture containing text, diagram, line, plo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24405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sz w:val="16"/>
          <w:szCs w:val="16"/>
          <w:lang w:val="sr-Latn-RS" w:eastAsia="sr-Latn-RS"/>
        </w:rPr>
        <w:drawing>
          <wp:anchor distT="0" distB="0" distL="114300" distR="114300" simplePos="0" relativeHeight="251657216" behindDoc="0" locked="0" layoutInCell="1" allowOverlap="1" wp14:anchorId="3BE2B264" wp14:editId="052DFB12">
            <wp:simplePos x="0" y="0"/>
            <wp:positionH relativeFrom="column">
              <wp:posOffset>366395</wp:posOffset>
            </wp:positionH>
            <wp:positionV relativeFrom="paragraph">
              <wp:posOffset>2452370</wp:posOffset>
            </wp:positionV>
            <wp:extent cx="2170430" cy="2807970"/>
            <wp:effectExtent l="5080" t="0" r="6350" b="6350"/>
            <wp:wrapTopAndBottom/>
            <wp:docPr id="2038650774" name="Picture 4" descr="A picture containing diagram, line, text, plo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650774" name="Picture 4" descr="A picture containing diagram, line, text, plo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7043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00E" w:rsidRPr="005A6CC8">
        <w:rPr>
          <w:b/>
          <w:sz w:val="22"/>
          <w:szCs w:val="22"/>
        </w:rPr>
        <w:t xml:space="preserve">Abstract. </w:t>
      </w:r>
      <w:r w:rsidR="0030000E" w:rsidRPr="005A6CC8">
        <w:rPr>
          <w:sz w:val="22"/>
          <w:szCs w:val="22"/>
        </w:rPr>
        <w:t xml:space="preserve">Quantum cascade lasers (QCLs) are semiconductor lasers </w:t>
      </w:r>
      <w:r w:rsidR="002C4FCF" w:rsidRPr="005A6CC8">
        <w:rPr>
          <w:sz w:val="22"/>
          <w:szCs w:val="22"/>
        </w:rPr>
        <w:t>with</w:t>
      </w:r>
      <w:r w:rsidR="009C0B85" w:rsidRPr="005A6CC8">
        <w:rPr>
          <w:sz w:val="22"/>
          <w:szCs w:val="22"/>
        </w:rPr>
        <w:t xml:space="preserve"> emission </w:t>
      </w:r>
      <w:r w:rsidR="002C4FCF" w:rsidRPr="005A6CC8">
        <w:rPr>
          <w:sz w:val="22"/>
          <w:szCs w:val="22"/>
        </w:rPr>
        <w:t xml:space="preserve">frequencies </w:t>
      </w:r>
      <w:r w:rsidR="00340823" w:rsidRPr="005A6CC8">
        <w:rPr>
          <w:sz w:val="22"/>
          <w:szCs w:val="22"/>
        </w:rPr>
        <w:t>ranging from the mid-IR to the THz pa</w:t>
      </w:r>
      <w:r w:rsidR="002C4FCF" w:rsidRPr="005A6CC8">
        <w:rPr>
          <w:sz w:val="22"/>
          <w:szCs w:val="22"/>
        </w:rPr>
        <w:t>rt of the spectrum, that can be designed by varying layer thicknesses and composition [1].</w:t>
      </w:r>
      <w:r w:rsidR="00262D80" w:rsidRPr="005A6CC8">
        <w:rPr>
          <w:sz w:val="22"/>
          <w:szCs w:val="22"/>
        </w:rPr>
        <w:t xml:space="preserve"> Due to the unique THz </w:t>
      </w:r>
      <w:r w:rsidR="00E332E2" w:rsidRPr="005A6CC8">
        <w:rPr>
          <w:sz w:val="22"/>
          <w:szCs w:val="22"/>
        </w:rPr>
        <w:t xml:space="preserve">light </w:t>
      </w:r>
      <w:r w:rsidR="00262D80" w:rsidRPr="005A6CC8">
        <w:rPr>
          <w:sz w:val="22"/>
          <w:szCs w:val="22"/>
        </w:rPr>
        <w:t>emission</w:t>
      </w:r>
      <w:r w:rsidR="00E332E2" w:rsidRPr="005A6CC8">
        <w:rPr>
          <w:sz w:val="22"/>
          <w:szCs w:val="22"/>
        </w:rPr>
        <w:t xml:space="preserve"> of QCLs</w:t>
      </w:r>
      <w:r w:rsidR="00C65C1E">
        <w:rPr>
          <w:sz w:val="22"/>
          <w:szCs w:val="22"/>
        </w:rPr>
        <w:t>,</w:t>
      </w:r>
      <w:r w:rsidR="00E332E2" w:rsidRPr="005A6CC8">
        <w:rPr>
          <w:sz w:val="22"/>
          <w:szCs w:val="22"/>
        </w:rPr>
        <w:t xml:space="preserve"> many designs have been developed</w:t>
      </w:r>
      <w:r w:rsidR="0086564E" w:rsidRPr="005A6CC8">
        <w:rPr>
          <w:sz w:val="22"/>
          <w:szCs w:val="22"/>
        </w:rPr>
        <w:t>,</w:t>
      </w:r>
      <w:r w:rsidR="00E332E2" w:rsidRPr="005A6CC8">
        <w:rPr>
          <w:sz w:val="22"/>
          <w:szCs w:val="22"/>
        </w:rPr>
        <w:t xml:space="preserve"> the most important of which are the Longitudinal Optical Phonon (LO), Bound to Continuum (BTC)</w:t>
      </w:r>
      <w:r w:rsidR="00C65C1E">
        <w:rPr>
          <w:sz w:val="22"/>
          <w:szCs w:val="22"/>
        </w:rPr>
        <w:t>,</w:t>
      </w:r>
      <w:r w:rsidR="00E332E2" w:rsidRPr="005A6CC8">
        <w:rPr>
          <w:sz w:val="22"/>
          <w:szCs w:val="22"/>
        </w:rPr>
        <w:t xml:space="preserve"> and Hybrid designs</w:t>
      </w:r>
      <w:r w:rsidR="004844EE" w:rsidRPr="005A6CC8">
        <w:rPr>
          <w:sz w:val="22"/>
          <w:szCs w:val="22"/>
        </w:rPr>
        <w:t xml:space="preserve"> </w:t>
      </w:r>
      <w:r w:rsidR="003758E7">
        <w:rPr>
          <w:rFonts w:eastAsiaTheme="minorHAnsi"/>
          <w:color w:val="000000"/>
          <w:sz w:val="22"/>
          <w:szCs w:val="22"/>
        </w:rPr>
        <w:t>[</w:t>
      </w:r>
      <w:r w:rsidR="00C35963">
        <w:rPr>
          <w:rFonts w:eastAsiaTheme="minorHAnsi"/>
          <w:color w:val="000000"/>
          <w:sz w:val="22"/>
          <w:szCs w:val="22"/>
        </w:rPr>
        <w:t>2</w:t>
      </w:r>
      <w:r w:rsidR="004844EE" w:rsidRPr="005A6CC8">
        <w:rPr>
          <w:rFonts w:eastAsiaTheme="minorHAnsi"/>
          <w:color w:val="000000"/>
          <w:sz w:val="22"/>
          <w:szCs w:val="22"/>
        </w:rPr>
        <w:t>]</w:t>
      </w:r>
      <w:r w:rsidR="0086564E" w:rsidRPr="005A6CC8">
        <w:rPr>
          <w:sz w:val="22"/>
          <w:szCs w:val="22"/>
        </w:rPr>
        <w:t>. These devices</w:t>
      </w:r>
      <w:r w:rsidR="001D41F2" w:rsidRPr="005A6CC8">
        <w:rPr>
          <w:sz w:val="22"/>
          <w:szCs w:val="22"/>
        </w:rPr>
        <w:t xml:space="preserve"> are created at high temperatures by molecular beam epitaxy</w:t>
      </w:r>
      <w:r w:rsidR="00647BCD">
        <w:rPr>
          <w:sz w:val="22"/>
          <w:szCs w:val="22"/>
        </w:rPr>
        <w:t xml:space="preserve"> (MBE)</w:t>
      </w:r>
      <w:r w:rsidR="0086564E" w:rsidRPr="005A6CC8">
        <w:rPr>
          <w:sz w:val="22"/>
          <w:szCs w:val="22"/>
        </w:rPr>
        <w:t xml:space="preserve"> </w:t>
      </w:r>
      <w:r w:rsidR="00181931">
        <w:rPr>
          <w:sz w:val="22"/>
          <w:szCs w:val="22"/>
        </w:rPr>
        <w:t>making</w:t>
      </w:r>
      <w:r w:rsidR="00404D05" w:rsidRPr="005A6CC8">
        <w:rPr>
          <w:sz w:val="22"/>
          <w:szCs w:val="22"/>
        </w:rPr>
        <w:t xml:space="preserve"> them prone to </w:t>
      </w:r>
      <w:r w:rsidR="00F51F46" w:rsidRPr="005A6CC8">
        <w:rPr>
          <w:sz w:val="22"/>
          <w:szCs w:val="22"/>
        </w:rPr>
        <w:t xml:space="preserve">diffusion of added barrier material </w:t>
      </w:r>
      <w:r w:rsidR="00D75562">
        <w:rPr>
          <w:sz w:val="22"/>
          <w:szCs w:val="22"/>
        </w:rPr>
        <w:t>that</w:t>
      </w:r>
      <w:r w:rsidR="00F51F46" w:rsidRPr="005A6CC8">
        <w:rPr>
          <w:sz w:val="22"/>
          <w:szCs w:val="22"/>
        </w:rPr>
        <w:t xml:space="preserve"> leads to </w:t>
      </w:r>
      <w:r w:rsidR="00404D05" w:rsidRPr="005A6CC8">
        <w:rPr>
          <w:sz w:val="22"/>
          <w:szCs w:val="22"/>
        </w:rPr>
        <w:t>interface composition diffusion</w:t>
      </w:r>
      <w:r w:rsidR="003758E7">
        <w:rPr>
          <w:sz w:val="22"/>
          <w:szCs w:val="22"/>
        </w:rPr>
        <w:t xml:space="preserve"> </w:t>
      </w:r>
      <w:r w:rsidR="00D75562">
        <w:rPr>
          <w:sz w:val="22"/>
          <w:szCs w:val="22"/>
        </w:rPr>
        <w:t>which</w:t>
      </w:r>
      <w:r w:rsidR="003758E7">
        <w:rPr>
          <w:sz w:val="22"/>
          <w:szCs w:val="22"/>
        </w:rPr>
        <w:t xml:space="preserve"> can have </w:t>
      </w:r>
      <w:r w:rsidR="0062677A">
        <w:rPr>
          <w:sz w:val="22"/>
          <w:szCs w:val="22"/>
        </w:rPr>
        <w:t xml:space="preserve">a </w:t>
      </w:r>
      <w:r w:rsidR="003758E7">
        <w:rPr>
          <w:sz w:val="22"/>
          <w:szCs w:val="22"/>
        </w:rPr>
        <w:t>prominent effect o</w:t>
      </w:r>
      <w:r w:rsidR="00647BCD">
        <w:rPr>
          <w:sz w:val="22"/>
          <w:szCs w:val="22"/>
        </w:rPr>
        <w:t>n</w:t>
      </w:r>
      <w:r w:rsidR="003758E7">
        <w:rPr>
          <w:sz w:val="22"/>
          <w:szCs w:val="22"/>
        </w:rPr>
        <w:t xml:space="preserve"> QCL operation [</w:t>
      </w:r>
      <w:r w:rsidR="00C35963">
        <w:rPr>
          <w:sz w:val="22"/>
          <w:szCs w:val="22"/>
        </w:rPr>
        <w:t>3</w:t>
      </w:r>
      <w:r w:rsidR="003758E7">
        <w:rPr>
          <w:sz w:val="22"/>
          <w:szCs w:val="22"/>
        </w:rPr>
        <w:t>]</w:t>
      </w:r>
      <w:r w:rsidR="000830C0">
        <w:rPr>
          <w:sz w:val="22"/>
          <w:szCs w:val="22"/>
        </w:rPr>
        <w:t>. D</w:t>
      </w:r>
      <w:r w:rsidR="00F51F46" w:rsidRPr="005A6CC8">
        <w:rPr>
          <w:sz w:val="22"/>
          <w:szCs w:val="22"/>
        </w:rPr>
        <w:t>oping segregation</w:t>
      </w:r>
      <w:r w:rsidR="005A6CC8" w:rsidRPr="005A6CC8">
        <w:rPr>
          <w:sz w:val="22"/>
          <w:szCs w:val="22"/>
        </w:rPr>
        <w:t>,</w:t>
      </w:r>
      <w:r w:rsidR="005A6CC8" w:rsidRPr="005A6CC8">
        <w:rPr>
          <w:rFonts w:eastAsia="Iwona-Regular"/>
          <w:color w:val="000000"/>
          <w:sz w:val="22"/>
          <w:szCs w:val="22"/>
          <w:lang w:val="sr-Latn-RS"/>
        </w:rPr>
        <w:t xml:space="preserve"> that is the diffusion of the charged dopants</w:t>
      </w:r>
      <w:r w:rsidR="009602B1">
        <w:rPr>
          <w:rFonts w:eastAsia="Iwona-Regular"/>
          <w:color w:val="000000"/>
          <w:sz w:val="22"/>
          <w:szCs w:val="22"/>
          <w:lang w:val="sr-Latn-RS"/>
        </w:rPr>
        <w:t>,</w:t>
      </w:r>
      <w:r w:rsidR="00F51F46" w:rsidRPr="005A6CC8">
        <w:rPr>
          <w:sz w:val="22"/>
          <w:szCs w:val="22"/>
        </w:rPr>
        <w:t xml:space="preserve"> </w:t>
      </w:r>
      <w:r w:rsidR="009602B1">
        <w:rPr>
          <w:sz w:val="22"/>
          <w:szCs w:val="22"/>
        </w:rPr>
        <w:t xml:space="preserve">which </w:t>
      </w:r>
      <w:r w:rsidR="00C65C1E">
        <w:rPr>
          <w:sz w:val="22"/>
          <w:szCs w:val="22"/>
        </w:rPr>
        <w:t>a</w:t>
      </w:r>
      <w:r w:rsidR="005A6CC8" w:rsidRPr="005A6CC8">
        <w:rPr>
          <w:sz w:val="22"/>
          <w:szCs w:val="22"/>
        </w:rPr>
        <w:t xml:space="preserve">ffects </w:t>
      </w:r>
      <w:r w:rsidR="005A6CC8" w:rsidRPr="005A6CC8">
        <w:rPr>
          <w:rFonts w:eastAsia="Iwona-Regular"/>
          <w:color w:val="000000"/>
          <w:sz w:val="22"/>
          <w:szCs w:val="22"/>
          <w:lang w:val="sr-Latn-RS"/>
        </w:rPr>
        <w:t>the</w:t>
      </w:r>
      <w:r w:rsidR="008F489E">
        <w:rPr>
          <w:rFonts w:eastAsia="Iwona-Regular"/>
          <w:color w:val="000000"/>
          <w:sz w:val="22"/>
          <w:szCs w:val="22"/>
          <w:lang w:val="sr-Latn-RS"/>
        </w:rPr>
        <w:t xml:space="preserve"> doping profile</w:t>
      </w:r>
      <w:r w:rsidR="00C65C1E">
        <w:rPr>
          <w:rFonts w:eastAsia="Iwona-Regular"/>
          <w:color w:val="000000"/>
          <w:sz w:val="22"/>
          <w:szCs w:val="22"/>
          <w:lang w:val="sr-Latn-RS"/>
        </w:rPr>
        <w:t>,</w:t>
      </w:r>
      <w:r w:rsidR="008F489E">
        <w:rPr>
          <w:rFonts w:eastAsia="Iwona-Regular"/>
          <w:color w:val="000000"/>
          <w:sz w:val="22"/>
          <w:szCs w:val="22"/>
          <w:lang w:val="sr-Latn-RS"/>
        </w:rPr>
        <w:t xml:space="preserve"> and </w:t>
      </w:r>
      <w:r w:rsidR="005A6CC8" w:rsidRPr="005A6CC8">
        <w:rPr>
          <w:rFonts w:eastAsia="Iwona-Regular"/>
          <w:color w:val="000000"/>
          <w:sz w:val="22"/>
          <w:szCs w:val="22"/>
          <w:lang w:val="sr-Latn-RS"/>
        </w:rPr>
        <w:t xml:space="preserve"> Hartree term in the total effective potential energy</w:t>
      </w:r>
      <w:r w:rsidR="009602B1">
        <w:rPr>
          <w:rFonts w:eastAsia="Iwona-Regular"/>
          <w:color w:val="000000"/>
          <w:sz w:val="22"/>
          <w:szCs w:val="22"/>
          <w:lang w:val="sr-Latn-RS"/>
        </w:rPr>
        <w:t xml:space="preserve"> is also present in real QCL</w:t>
      </w:r>
      <w:r w:rsidR="00181931">
        <w:rPr>
          <w:rFonts w:eastAsia="Iwona-Regular"/>
          <w:color w:val="000000"/>
          <w:sz w:val="22"/>
          <w:szCs w:val="22"/>
          <w:lang w:val="sr-Latn-RS"/>
        </w:rPr>
        <w:t>s</w:t>
      </w:r>
      <w:r w:rsidR="00ED0726">
        <w:rPr>
          <w:rFonts w:eastAsia="Iwona-Regular"/>
          <w:color w:val="000000"/>
          <w:sz w:val="22"/>
          <w:szCs w:val="22"/>
          <w:lang w:val="sr-Latn-RS"/>
        </w:rPr>
        <w:t>.</w:t>
      </w:r>
      <w:r w:rsidR="00856A12" w:rsidRPr="00856A12">
        <w:rPr>
          <w:sz w:val="22"/>
          <w:szCs w:val="16"/>
        </w:rPr>
        <w:t xml:space="preserve"> In this contribution</w:t>
      </w:r>
      <w:r w:rsidR="00C65C1E">
        <w:rPr>
          <w:sz w:val="22"/>
          <w:szCs w:val="16"/>
        </w:rPr>
        <w:t>,</w:t>
      </w:r>
      <w:r w:rsidR="00856A12" w:rsidRPr="00856A12">
        <w:rPr>
          <w:sz w:val="22"/>
          <w:szCs w:val="16"/>
        </w:rPr>
        <w:t xml:space="preserve"> we investigate the dependence of transport parameters such </w:t>
      </w:r>
      <w:r w:rsidR="007505E2">
        <w:rPr>
          <w:sz w:val="22"/>
          <w:szCs w:val="16"/>
        </w:rPr>
        <w:t xml:space="preserve">as </w:t>
      </w:r>
      <w:r w:rsidR="00856A12" w:rsidRPr="00856A12">
        <w:rPr>
          <w:sz w:val="22"/>
          <w:szCs w:val="16"/>
        </w:rPr>
        <w:t>material gain, current density</w:t>
      </w:r>
      <w:r w:rsidR="00C65C1E">
        <w:rPr>
          <w:sz w:val="22"/>
          <w:szCs w:val="16"/>
        </w:rPr>
        <w:t>,</w:t>
      </w:r>
      <w:r w:rsidR="00856A12" w:rsidRPr="00856A12">
        <w:rPr>
          <w:sz w:val="22"/>
          <w:szCs w:val="16"/>
        </w:rPr>
        <w:t xml:space="preserve"> and emission frequency in the negative di</w:t>
      </w:r>
      <w:r w:rsidR="00C65C1E">
        <w:rPr>
          <w:sz w:val="22"/>
          <w:szCs w:val="16"/>
        </w:rPr>
        <w:t>f</w:t>
      </w:r>
      <w:r w:rsidR="00856A12" w:rsidRPr="00856A12">
        <w:rPr>
          <w:sz w:val="22"/>
          <w:szCs w:val="16"/>
        </w:rPr>
        <w:t>ferential resist</w:t>
      </w:r>
      <w:r w:rsidR="0062677A">
        <w:rPr>
          <w:sz w:val="22"/>
          <w:szCs w:val="16"/>
        </w:rPr>
        <w:t>a</w:t>
      </w:r>
      <w:r w:rsidR="00856A12" w:rsidRPr="00856A12">
        <w:rPr>
          <w:sz w:val="22"/>
          <w:szCs w:val="16"/>
        </w:rPr>
        <w:t>nce (NDR) point</w:t>
      </w:r>
      <w:r w:rsidR="007505E2">
        <w:rPr>
          <w:sz w:val="22"/>
          <w:szCs w:val="16"/>
        </w:rPr>
        <w:t xml:space="preserve"> </w:t>
      </w:r>
      <w:r w:rsidR="007505E2" w:rsidRPr="007505E2">
        <w:rPr>
          <w:sz w:val="22"/>
          <w:szCs w:val="16"/>
        </w:rPr>
        <w:t>in</w:t>
      </w:r>
      <w:r w:rsidR="000830C0">
        <w:rPr>
          <w:sz w:val="22"/>
          <w:szCs w:val="16"/>
        </w:rPr>
        <w:t xml:space="preserve"> </w:t>
      </w:r>
      <w:r w:rsidR="007505E2" w:rsidRPr="007505E2">
        <w:rPr>
          <w:sz w:val="22"/>
          <w:szCs w:val="16"/>
        </w:rPr>
        <w:t>the three most common THz QCL designs</w:t>
      </w:r>
      <w:r w:rsidR="000830C0">
        <w:rPr>
          <w:sz w:val="22"/>
          <w:szCs w:val="16"/>
        </w:rPr>
        <w:t xml:space="preserve"> that are stated above</w:t>
      </w:r>
      <w:r w:rsidR="007505E2" w:rsidRPr="007505E2">
        <w:rPr>
          <w:sz w:val="22"/>
          <w:szCs w:val="16"/>
        </w:rPr>
        <w:t>, on interface diffusion and doping segregation.</w:t>
      </w:r>
      <w:r w:rsidR="00D75562">
        <w:rPr>
          <w:sz w:val="22"/>
          <w:szCs w:val="16"/>
        </w:rPr>
        <w:t xml:space="preserve"> The NDR point defines the maximum current density at which the QCL can operate</w:t>
      </w:r>
      <w:r w:rsidR="00DB7E95">
        <w:rPr>
          <w:sz w:val="22"/>
          <w:szCs w:val="16"/>
        </w:rPr>
        <w:t xml:space="preserve">, while </w:t>
      </w:r>
      <w:r w:rsidR="00C65C1E">
        <w:rPr>
          <w:sz w:val="22"/>
          <w:szCs w:val="16"/>
        </w:rPr>
        <w:t xml:space="preserve">the </w:t>
      </w:r>
      <w:r w:rsidR="00DB7E95">
        <w:rPr>
          <w:sz w:val="22"/>
          <w:szCs w:val="16"/>
        </w:rPr>
        <w:t>operation starts at material gain</w:t>
      </w:r>
      <w:r w:rsidR="0062677A">
        <w:rPr>
          <w:sz w:val="22"/>
          <w:szCs w:val="16"/>
        </w:rPr>
        <w:t xml:space="preserve"> equal to the threshold value</w:t>
      </w:r>
      <w:r w:rsidR="00D75562">
        <w:rPr>
          <w:sz w:val="22"/>
          <w:szCs w:val="16"/>
        </w:rPr>
        <w:t>.</w:t>
      </w:r>
      <w:r w:rsidR="009312E9">
        <w:rPr>
          <w:sz w:val="22"/>
          <w:szCs w:val="16"/>
        </w:rPr>
        <w:t xml:space="preserve"> </w:t>
      </w:r>
      <w:r w:rsidR="00646D37" w:rsidRPr="00646D37">
        <w:rPr>
          <w:sz w:val="22"/>
          <w:szCs w:val="16"/>
        </w:rPr>
        <w:t xml:space="preserve">The transport of these devices was modeled </w:t>
      </w:r>
      <w:r w:rsidR="000830C0">
        <w:rPr>
          <w:sz w:val="22"/>
          <w:szCs w:val="16"/>
        </w:rPr>
        <w:t>using</w:t>
      </w:r>
      <w:r w:rsidR="00646D37" w:rsidRPr="00646D37">
        <w:rPr>
          <w:sz w:val="22"/>
          <w:szCs w:val="16"/>
        </w:rPr>
        <w:t xml:space="preserve"> the density matrix </w:t>
      </w:r>
      <w:r w:rsidR="000830C0">
        <w:rPr>
          <w:sz w:val="22"/>
          <w:szCs w:val="16"/>
        </w:rPr>
        <w:t>formalism</w:t>
      </w:r>
      <w:r w:rsidR="00DF1F5C">
        <w:rPr>
          <w:sz w:val="22"/>
          <w:szCs w:val="16"/>
        </w:rPr>
        <w:t xml:space="preserve"> which takes into account qua</w:t>
      </w:r>
      <w:r w:rsidR="00646D37" w:rsidRPr="00646D37">
        <w:rPr>
          <w:sz w:val="22"/>
          <w:szCs w:val="16"/>
        </w:rPr>
        <w:t xml:space="preserve">ntum coherence effects </w:t>
      </w:r>
      <w:r w:rsidR="000830C0">
        <w:rPr>
          <w:sz w:val="22"/>
          <w:szCs w:val="16"/>
        </w:rPr>
        <w:t>thus</w:t>
      </w:r>
      <w:r w:rsidR="002A110B">
        <w:rPr>
          <w:sz w:val="22"/>
          <w:szCs w:val="16"/>
        </w:rPr>
        <w:t xml:space="preserve"> </w:t>
      </w:r>
      <w:r w:rsidR="00DF1F5C">
        <w:rPr>
          <w:sz w:val="22"/>
          <w:szCs w:val="16"/>
        </w:rPr>
        <w:t>adequately describ</w:t>
      </w:r>
      <w:r w:rsidR="000830C0">
        <w:rPr>
          <w:sz w:val="22"/>
          <w:szCs w:val="16"/>
        </w:rPr>
        <w:t>ing</w:t>
      </w:r>
      <w:r w:rsidR="00DF1F5C">
        <w:rPr>
          <w:sz w:val="22"/>
          <w:szCs w:val="16"/>
        </w:rPr>
        <w:t xml:space="preserve"> resonant tunneling through the injection barrier </w:t>
      </w:r>
      <w:r w:rsidR="003758E7">
        <w:rPr>
          <w:sz w:val="22"/>
          <w:szCs w:val="16"/>
        </w:rPr>
        <w:t>[</w:t>
      </w:r>
      <w:r w:rsidR="006A2D85">
        <w:rPr>
          <w:sz w:val="22"/>
          <w:szCs w:val="16"/>
        </w:rPr>
        <w:t>4</w:t>
      </w:r>
      <w:r w:rsidR="00646D37" w:rsidRPr="00646D37">
        <w:rPr>
          <w:sz w:val="22"/>
          <w:szCs w:val="16"/>
        </w:rPr>
        <w:t xml:space="preserve">]. </w:t>
      </w:r>
      <w:r w:rsidR="003758E7">
        <w:rPr>
          <w:sz w:val="22"/>
          <w:szCs w:val="16"/>
        </w:rPr>
        <w:t xml:space="preserve">The finite difference method was </w:t>
      </w:r>
      <w:r w:rsidR="000830C0">
        <w:rPr>
          <w:sz w:val="22"/>
          <w:szCs w:val="16"/>
        </w:rPr>
        <w:t xml:space="preserve">then </w:t>
      </w:r>
      <w:r w:rsidR="003758E7">
        <w:rPr>
          <w:sz w:val="22"/>
          <w:szCs w:val="16"/>
        </w:rPr>
        <w:t xml:space="preserve">used for </w:t>
      </w:r>
      <w:r w:rsidR="00C65C1E">
        <w:rPr>
          <w:sz w:val="22"/>
          <w:szCs w:val="16"/>
        </w:rPr>
        <w:t xml:space="preserve">the </w:t>
      </w:r>
      <w:r w:rsidR="003758E7">
        <w:rPr>
          <w:sz w:val="22"/>
          <w:szCs w:val="16"/>
        </w:rPr>
        <w:t>numerical solving of Fick’s law to model both composition diffusion and doping segregation.</w:t>
      </w:r>
    </w:p>
    <w:p w14:paraId="1C5DAFF3" w14:textId="4BF2245A" w:rsidR="008272CB" w:rsidRPr="000613D3" w:rsidRDefault="000613D3" w:rsidP="000613D3">
      <w:pPr>
        <w:autoSpaceDE w:val="0"/>
        <w:autoSpaceDN w:val="0"/>
        <w:adjustRightInd w:val="0"/>
        <w:spacing w:after="60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Figure 1. </w:t>
      </w:r>
      <w:r w:rsidR="008272CB" w:rsidRPr="008272CB">
        <w:rPr>
          <w:sz w:val="20"/>
          <w:szCs w:val="20"/>
        </w:rPr>
        <w:t xml:space="preserve">Effect of interface diffusion </w:t>
      </w:r>
      <w:r w:rsidR="008272CB">
        <w:rPr>
          <w:sz w:val="20"/>
          <w:szCs w:val="20"/>
        </w:rPr>
        <w:t xml:space="preserve">on </w:t>
      </w:r>
      <w:r w:rsidR="008272CB" w:rsidRPr="008272CB">
        <w:rPr>
          <w:sz w:val="20"/>
          <w:szCs w:val="20"/>
        </w:rPr>
        <w:t xml:space="preserve">transport parameters in NDR point (left), and </w:t>
      </w:r>
      <w:r w:rsidR="005E3269">
        <w:rPr>
          <w:sz w:val="20"/>
          <w:szCs w:val="20"/>
        </w:rPr>
        <w:t xml:space="preserve">on </w:t>
      </w:r>
      <w:r w:rsidR="008272CB" w:rsidRPr="008272CB">
        <w:rPr>
          <w:sz w:val="20"/>
          <w:szCs w:val="20"/>
        </w:rPr>
        <w:t xml:space="preserve">material gain and current density versus external bias </w:t>
      </w:r>
      <w:r>
        <w:rPr>
          <w:sz w:val="20"/>
          <w:szCs w:val="20"/>
        </w:rPr>
        <w:t xml:space="preserve">(right) </w:t>
      </w:r>
      <w:r w:rsidR="008272CB" w:rsidRPr="008272CB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a </w:t>
      </w:r>
      <w:r w:rsidR="00E87458">
        <w:rPr>
          <w:sz w:val="20"/>
          <w:szCs w:val="20"/>
        </w:rPr>
        <w:t>LO</w:t>
      </w:r>
      <w:r w:rsidR="009A0C76">
        <w:rPr>
          <w:sz w:val="20"/>
          <w:szCs w:val="20"/>
        </w:rPr>
        <w:t xml:space="preserve"> design</w:t>
      </w:r>
      <w:r w:rsidR="008272CB" w:rsidRPr="008272CB">
        <w:rPr>
          <w:sz w:val="20"/>
          <w:szCs w:val="20"/>
        </w:rPr>
        <w:t xml:space="preserve"> quantum cascade laser</w:t>
      </w:r>
    </w:p>
    <w:p w14:paraId="0CD7FEEE" w14:textId="62A27507" w:rsidR="00C35963" w:rsidRPr="00F931A8" w:rsidRDefault="00C35963" w:rsidP="00C359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>
        <w:rPr>
          <w:sz w:val="22"/>
          <w:szCs w:val="22"/>
        </w:rPr>
        <w:t>EFERENCES</w:t>
      </w:r>
      <w:r w:rsidR="00675629">
        <w:rPr>
          <w:sz w:val="22"/>
          <w:szCs w:val="22"/>
        </w:rPr>
        <w:t xml:space="preserve">  </w:t>
      </w:r>
    </w:p>
    <w:p w14:paraId="555BAEE0" w14:textId="77777777" w:rsidR="00C35963" w:rsidRPr="00396274" w:rsidRDefault="00C35963" w:rsidP="00C35963">
      <w:pPr>
        <w:pStyle w:val="Reference"/>
        <w:rPr>
          <w:color w:val="000000"/>
          <w:sz w:val="22"/>
          <w:szCs w:val="22"/>
          <w:lang w:val="sr-Latn-RS" w:eastAsia="sr-Latn-RS"/>
        </w:rPr>
      </w:pPr>
      <w:r w:rsidRPr="00396274">
        <w:rPr>
          <w:sz w:val="22"/>
          <w:szCs w:val="22"/>
        </w:rPr>
        <w:t xml:space="preserve">[1] </w:t>
      </w:r>
      <w:r w:rsidRPr="00396274">
        <w:rPr>
          <w:color w:val="000000"/>
          <w:sz w:val="22"/>
          <w:szCs w:val="22"/>
          <w:lang w:val="sr-Latn-RS" w:eastAsia="sr-Latn-RS"/>
        </w:rPr>
        <w:t xml:space="preserve">J. Faist, et al., Science </w:t>
      </w:r>
      <w:r w:rsidRPr="00396274">
        <w:rPr>
          <w:bCs/>
          <w:color w:val="000000"/>
          <w:sz w:val="22"/>
          <w:szCs w:val="22"/>
          <w:lang w:val="sr-Latn-RS" w:eastAsia="sr-Latn-RS"/>
        </w:rPr>
        <w:t>264</w:t>
      </w:r>
      <w:r w:rsidRPr="00396274">
        <w:rPr>
          <w:color w:val="000000"/>
          <w:sz w:val="22"/>
          <w:szCs w:val="22"/>
          <w:lang w:val="sr-Latn-RS" w:eastAsia="sr-Latn-RS"/>
        </w:rPr>
        <w:t>, 553-556 (1994).</w:t>
      </w:r>
    </w:p>
    <w:p w14:paraId="3950ACFA" w14:textId="3F45022C" w:rsidR="001E7776" w:rsidRPr="00396274" w:rsidRDefault="00C35963" w:rsidP="008C0A19">
      <w:pPr>
        <w:autoSpaceDE w:val="0"/>
        <w:autoSpaceDN w:val="0"/>
        <w:adjustRightInd w:val="0"/>
        <w:rPr>
          <w:rFonts w:eastAsiaTheme="minorHAnsi"/>
          <w:sz w:val="22"/>
          <w:szCs w:val="22"/>
          <w:lang w:val="sr-Latn-RS"/>
        </w:rPr>
      </w:pPr>
      <w:r w:rsidRPr="00396274">
        <w:rPr>
          <w:sz w:val="22"/>
          <w:szCs w:val="22"/>
        </w:rPr>
        <w:t xml:space="preserve">[2] </w:t>
      </w:r>
      <w:r w:rsidR="008C0A19" w:rsidRPr="00396274">
        <w:rPr>
          <w:rFonts w:eastAsiaTheme="minorHAnsi"/>
          <w:sz w:val="22"/>
          <w:szCs w:val="22"/>
          <w:lang w:val="sr-Latn-RS"/>
        </w:rPr>
        <w:t xml:space="preserve">B. S. Williams, </w:t>
      </w:r>
      <w:r w:rsidR="008C0A19" w:rsidRPr="00396274">
        <w:rPr>
          <w:rFonts w:eastAsiaTheme="minorHAnsi"/>
          <w:iCs/>
          <w:sz w:val="22"/>
          <w:szCs w:val="22"/>
          <w:lang w:val="sr-Latn-RS"/>
        </w:rPr>
        <w:t>Nature photonics</w:t>
      </w:r>
      <w:r w:rsidR="00396274">
        <w:rPr>
          <w:rFonts w:eastAsiaTheme="minorHAnsi"/>
          <w:sz w:val="22"/>
          <w:szCs w:val="22"/>
          <w:lang w:val="sr-Latn-RS"/>
        </w:rPr>
        <w:t>, vol. 1, no. 9, p. 517</w:t>
      </w:r>
      <w:r w:rsidR="008C0A19" w:rsidRPr="00396274">
        <w:rPr>
          <w:rFonts w:eastAsiaTheme="minorHAnsi"/>
          <w:sz w:val="22"/>
          <w:szCs w:val="22"/>
          <w:lang w:val="sr-Latn-RS"/>
        </w:rPr>
        <w:t xml:space="preserve"> (2007).</w:t>
      </w:r>
    </w:p>
    <w:p w14:paraId="6708D859" w14:textId="36F167FA" w:rsidR="00C35963" w:rsidRPr="00396274" w:rsidRDefault="00C35963" w:rsidP="00C35963">
      <w:pPr>
        <w:pStyle w:val="Reference"/>
        <w:rPr>
          <w:sz w:val="22"/>
          <w:szCs w:val="22"/>
        </w:rPr>
      </w:pPr>
      <w:r w:rsidRPr="00396274">
        <w:rPr>
          <w:sz w:val="22"/>
          <w:szCs w:val="22"/>
        </w:rPr>
        <w:t xml:space="preserve">[3] </w:t>
      </w:r>
      <w:r w:rsidRPr="00396274">
        <w:rPr>
          <w:color w:val="000000"/>
          <w:sz w:val="22"/>
          <w:szCs w:val="22"/>
          <w:lang w:val="sr-Latn-RS" w:eastAsia="sr-Latn-RS"/>
        </w:rPr>
        <w:t xml:space="preserve">Li Wang, et al., Appl. Phys. Express </w:t>
      </w:r>
      <w:r w:rsidRPr="00396274">
        <w:rPr>
          <w:bCs/>
          <w:color w:val="000000"/>
          <w:sz w:val="22"/>
          <w:szCs w:val="22"/>
          <w:lang w:val="sr-Latn-RS" w:eastAsia="sr-Latn-RS"/>
        </w:rPr>
        <w:t>16</w:t>
      </w:r>
      <w:r w:rsidRPr="00396274">
        <w:rPr>
          <w:color w:val="000000"/>
          <w:sz w:val="22"/>
          <w:szCs w:val="22"/>
          <w:lang w:val="sr-Latn-RS" w:eastAsia="sr-Latn-RS"/>
        </w:rPr>
        <w:t>, 032007 (2023).</w:t>
      </w:r>
    </w:p>
    <w:p w14:paraId="7D9E0513" w14:textId="064FC6FD" w:rsidR="00675629" w:rsidRPr="000613D3" w:rsidRDefault="00396274" w:rsidP="000613D3">
      <w:pPr>
        <w:autoSpaceDE w:val="0"/>
        <w:autoSpaceDN w:val="0"/>
        <w:adjustRightInd w:val="0"/>
        <w:jc w:val="both"/>
        <w:rPr>
          <w:sz w:val="22"/>
          <w:szCs w:val="22"/>
          <w:lang w:val="sr-Latn-RS"/>
        </w:rPr>
      </w:pPr>
      <w:r>
        <w:rPr>
          <w:sz w:val="22"/>
          <w:szCs w:val="22"/>
        </w:rPr>
        <w:t>[4</w:t>
      </w:r>
      <w:r w:rsidR="00C35963" w:rsidRPr="00396274">
        <w:rPr>
          <w:sz w:val="22"/>
          <w:szCs w:val="22"/>
        </w:rPr>
        <w:t xml:space="preserve">] </w:t>
      </w:r>
      <w:r w:rsidRPr="00396274">
        <w:rPr>
          <w:sz w:val="22"/>
          <w:szCs w:val="22"/>
        </w:rPr>
        <w:t xml:space="preserve">A. Demić, et al., IEEE Transactions on Terahertz Science and Technology, vol. </w:t>
      </w:r>
      <w:r w:rsidRPr="00DC5AE5">
        <w:rPr>
          <w:bCs/>
          <w:sz w:val="22"/>
          <w:szCs w:val="22"/>
        </w:rPr>
        <w:t>7</w:t>
      </w:r>
      <w:r w:rsidR="00DC5AE5">
        <w:rPr>
          <w:sz w:val="22"/>
          <w:szCs w:val="22"/>
        </w:rPr>
        <w:t xml:space="preserve">, </w:t>
      </w:r>
      <w:r w:rsidRPr="00396274">
        <w:rPr>
          <w:sz w:val="22"/>
          <w:szCs w:val="22"/>
        </w:rPr>
        <w:t>368-377 (2017).</w:t>
      </w:r>
    </w:p>
    <w:p w14:paraId="4CC94237" w14:textId="1ECEE635" w:rsidR="00675629" w:rsidRDefault="00675629" w:rsidP="00D75562">
      <w:pPr>
        <w:pStyle w:val="Text"/>
        <w:spacing w:before="60"/>
        <w:ind w:firstLine="0"/>
        <w:rPr>
          <w:sz w:val="16"/>
          <w:szCs w:val="16"/>
          <w:shd w:val="clear" w:color="auto" w:fill="FFFFFF"/>
        </w:rPr>
      </w:pPr>
      <w:r w:rsidRPr="00D75562">
        <w:rPr>
          <w:sz w:val="18"/>
          <w:szCs w:val="18"/>
        </w:rPr>
        <w:t>ACKNOWLEDGMENT</w:t>
      </w:r>
      <w:r w:rsidR="000613D3">
        <w:rPr>
          <w:sz w:val="22"/>
          <w:szCs w:val="22"/>
        </w:rPr>
        <w:t xml:space="preserve"> </w:t>
      </w:r>
    </w:p>
    <w:p w14:paraId="297ACFEE" w14:textId="3CD055E0" w:rsidR="00F63621" w:rsidRPr="00E75236" w:rsidRDefault="00281B9D" w:rsidP="00E75236">
      <w:pPr>
        <w:pStyle w:val="Text"/>
        <w:ind w:firstLine="0"/>
        <w:rPr>
          <w:bCs/>
          <w:sz w:val="16"/>
          <w:szCs w:val="16"/>
        </w:rPr>
      </w:pPr>
      <w:r w:rsidRPr="008A4A7F">
        <w:rPr>
          <w:sz w:val="16"/>
          <w:szCs w:val="16"/>
          <w:shd w:val="clear" w:color="auto" w:fill="FFFFFF"/>
        </w:rPr>
        <w:t xml:space="preserve">This work was financially supported by </w:t>
      </w:r>
      <w:r w:rsidR="00E75236" w:rsidRPr="00E75236">
        <w:rPr>
          <w:sz w:val="16"/>
          <w:lang w:val="sr-Latn-RS"/>
        </w:rPr>
        <w:t>the Vlatacom Institute of High</w:t>
      </w:r>
      <w:r w:rsidR="00E75236">
        <w:rPr>
          <w:sz w:val="16"/>
          <w:lang w:val="sr-Latn-RS"/>
        </w:rPr>
        <w:t xml:space="preserve"> Technologies under project 178, </w:t>
      </w:r>
      <w:r w:rsidRPr="008A4A7F">
        <w:rPr>
          <w:sz w:val="16"/>
          <w:szCs w:val="16"/>
          <w:shd w:val="clear" w:color="auto" w:fill="FFFFFF"/>
        </w:rPr>
        <w:t>the Ministry of Science, Technological Development and Innovation of the Republic of Serbia under contract number: 451-03-47/2023-01/200103</w:t>
      </w:r>
      <w:r w:rsidRPr="008A4A7F">
        <w:rPr>
          <w:bCs/>
          <w:sz w:val="16"/>
          <w:szCs w:val="16"/>
        </w:rPr>
        <w:t>, "Multi-Scale Modeling of Terahertz Quantum Cascade Laser Active Regions", Multilateral scientific and technological cooperation in the Danube region 2020-2021, "DEMETRA: Development of high-performance mid-IR / THz quantum cascade lasers for advanced applications", Science Fund of the Republic of Serbia, Serbian Science and Diaspora Collaboration Programme: Knowledge Exchange Vouchers, and European Cooperation in Science and Technology (COST) Action CA21159 PhoBioS.</w:t>
      </w:r>
    </w:p>
    <w:sectPr w:rsidR="00F63621" w:rsidRPr="00E7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wona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tDQ3sDQ3t7QwNTFT0lEKTi0uzszPAykwrAUA4joD9iwAAAA="/>
  </w:docVars>
  <w:rsids>
    <w:rsidRoot w:val="00B7234D"/>
    <w:rsid w:val="000613D3"/>
    <w:rsid w:val="000830C0"/>
    <w:rsid w:val="000A233F"/>
    <w:rsid w:val="00130BB1"/>
    <w:rsid w:val="001458AF"/>
    <w:rsid w:val="00181931"/>
    <w:rsid w:val="001C6C7B"/>
    <w:rsid w:val="001D41F2"/>
    <w:rsid w:val="001E7776"/>
    <w:rsid w:val="002046F3"/>
    <w:rsid w:val="00262D80"/>
    <w:rsid w:val="00281B9D"/>
    <w:rsid w:val="002A110B"/>
    <w:rsid w:val="002C4FCF"/>
    <w:rsid w:val="0030000E"/>
    <w:rsid w:val="00340823"/>
    <w:rsid w:val="00341BCE"/>
    <w:rsid w:val="003758E7"/>
    <w:rsid w:val="00396274"/>
    <w:rsid w:val="00404D05"/>
    <w:rsid w:val="004844EE"/>
    <w:rsid w:val="00583D4F"/>
    <w:rsid w:val="005A6CC8"/>
    <w:rsid w:val="005E3269"/>
    <w:rsid w:val="005F3C2E"/>
    <w:rsid w:val="00602FB2"/>
    <w:rsid w:val="00617BAC"/>
    <w:rsid w:val="0062677A"/>
    <w:rsid w:val="00646D37"/>
    <w:rsid w:val="00647BCD"/>
    <w:rsid w:val="00647BD3"/>
    <w:rsid w:val="00675629"/>
    <w:rsid w:val="006A2D85"/>
    <w:rsid w:val="006D225B"/>
    <w:rsid w:val="007505E2"/>
    <w:rsid w:val="00756502"/>
    <w:rsid w:val="007E1E78"/>
    <w:rsid w:val="008272CB"/>
    <w:rsid w:val="00856A12"/>
    <w:rsid w:val="00861C68"/>
    <w:rsid w:val="0086564E"/>
    <w:rsid w:val="00871E77"/>
    <w:rsid w:val="008C0A19"/>
    <w:rsid w:val="008F489E"/>
    <w:rsid w:val="009312E9"/>
    <w:rsid w:val="009404A1"/>
    <w:rsid w:val="009450A8"/>
    <w:rsid w:val="009602B1"/>
    <w:rsid w:val="009A0C76"/>
    <w:rsid w:val="009A3DD6"/>
    <w:rsid w:val="009C0B85"/>
    <w:rsid w:val="009F10AA"/>
    <w:rsid w:val="00B3658A"/>
    <w:rsid w:val="00B7234D"/>
    <w:rsid w:val="00B93034"/>
    <w:rsid w:val="00B935C4"/>
    <w:rsid w:val="00BA059C"/>
    <w:rsid w:val="00BB7BFE"/>
    <w:rsid w:val="00BF3DA2"/>
    <w:rsid w:val="00C35963"/>
    <w:rsid w:val="00C65C1E"/>
    <w:rsid w:val="00CD7227"/>
    <w:rsid w:val="00CE10FB"/>
    <w:rsid w:val="00CE17FD"/>
    <w:rsid w:val="00CF5D96"/>
    <w:rsid w:val="00D574F8"/>
    <w:rsid w:val="00D75562"/>
    <w:rsid w:val="00D8130C"/>
    <w:rsid w:val="00DA3F6E"/>
    <w:rsid w:val="00DB7E95"/>
    <w:rsid w:val="00DC5AE5"/>
    <w:rsid w:val="00DD1F9B"/>
    <w:rsid w:val="00DF1F5C"/>
    <w:rsid w:val="00E332E2"/>
    <w:rsid w:val="00E42142"/>
    <w:rsid w:val="00E75236"/>
    <w:rsid w:val="00E87458"/>
    <w:rsid w:val="00E92E2C"/>
    <w:rsid w:val="00ED0726"/>
    <w:rsid w:val="00ED4D60"/>
    <w:rsid w:val="00EE0740"/>
    <w:rsid w:val="00F51F46"/>
    <w:rsid w:val="00F63621"/>
    <w:rsid w:val="00F679E4"/>
    <w:rsid w:val="00F9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4EDD"/>
  <w15:docId w15:val="{8AF690BD-2208-451A-A65B-0277FFE6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81B9D"/>
    <w:pPr>
      <w:keepNext/>
      <w:spacing w:before="480" w:after="240"/>
      <w:jc w:val="center"/>
      <w:outlineLvl w:val="0"/>
    </w:pPr>
    <w:rPr>
      <w:b/>
      <w: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Author">
    <w:name w:val="Paper Author"/>
    <w:basedOn w:val="Normal"/>
    <w:rsid w:val="00B935C4"/>
    <w:pPr>
      <w:spacing w:before="360" w:after="360"/>
      <w:jc w:val="center"/>
    </w:pPr>
    <w:rPr>
      <w:sz w:val="28"/>
      <w:szCs w:val="20"/>
    </w:rPr>
  </w:style>
  <w:style w:type="paragraph" w:customStyle="1" w:styleId="AuthorAffiliation">
    <w:name w:val="Author Affiliation"/>
    <w:basedOn w:val="Normal"/>
    <w:rsid w:val="00B935C4"/>
    <w:pPr>
      <w:jc w:val="center"/>
    </w:pPr>
    <w:rPr>
      <w:i/>
      <w:sz w:val="20"/>
      <w:szCs w:val="20"/>
    </w:rPr>
  </w:style>
  <w:style w:type="paragraph" w:customStyle="1" w:styleId="Reference">
    <w:name w:val="Reference"/>
    <w:basedOn w:val="Normal"/>
    <w:rsid w:val="006D225B"/>
    <w:pPr>
      <w:ind w:left="270" w:hanging="270"/>
      <w:jc w:val="both"/>
    </w:pPr>
    <w:rPr>
      <w:sz w:val="18"/>
      <w:szCs w:val="20"/>
    </w:rPr>
  </w:style>
  <w:style w:type="character" w:customStyle="1" w:styleId="Heading1Char">
    <w:name w:val="Heading 1 Char"/>
    <w:basedOn w:val="DefaultParagraphFont"/>
    <w:link w:val="Heading1"/>
    <w:rsid w:val="00281B9D"/>
    <w:rPr>
      <w:rFonts w:ascii="Times New Roman" w:eastAsia="Times New Roman" w:hAnsi="Times New Roman" w:cs="Times New Roman"/>
      <w:b/>
      <w:caps/>
      <w:sz w:val="28"/>
      <w:szCs w:val="20"/>
      <w:lang w:val="en-US"/>
    </w:rPr>
  </w:style>
  <w:style w:type="paragraph" w:customStyle="1" w:styleId="Text">
    <w:name w:val="Text"/>
    <w:basedOn w:val="Normal"/>
    <w:link w:val="TextChar"/>
    <w:rsid w:val="00281B9D"/>
    <w:pPr>
      <w:widowControl w:val="0"/>
      <w:spacing w:line="252" w:lineRule="auto"/>
      <w:ind w:firstLine="202"/>
      <w:jc w:val="both"/>
    </w:pPr>
    <w:rPr>
      <w:sz w:val="20"/>
      <w:szCs w:val="20"/>
    </w:rPr>
  </w:style>
  <w:style w:type="character" w:customStyle="1" w:styleId="TextChar">
    <w:name w:val="Text Char"/>
    <w:link w:val="Text"/>
    <w:rsid w:val="00281B9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Vlatacom Institute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Vlatacom Institute</dc:creator>
  <cp:lastModifiedBy>Новак Станојевић</cp:lastModifiedBy>
  <cp:revision>3</cp:revision>
  <cp:lastPrinted>2023-06-13T08:34:00Z</cp:lastPrinted>
  <dcterms:created xsi:type="dcterms:W3CDTF">2023-06-13T08:51:00Z</dcterms:created>
  <dcterms:modified xsi:type="dcterms:W3CDTF">2023-06-13T11:04:00Z</dcterms:modified>
</cp:coreProperties>
</file>