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BAF4" w14:textId="253DACFA" w:rsidR="005D12C2" w:rsidRDefault="00784E1B" w:rsidP="00784E1B">
      <w:pPr>
        <w:adjustRightInd w:val="0"/>
        <w:snapToGrid w:val="0"/>
        <w:jc w:val="center"/>
      </w:pPr>
      <w:r w:rsidRPr="00784E1B">
        <w:rPr>
          <w:b/>
          <w:kern w:val="0"/>
          <w:sz w:val="28"/>
          <w:szCs w:val="28"/>
        </w:rPr>
        <w:t xml:space="preserve">Pushing the Boundaries of </w:t>
      </w:r>
      <w:proofErr w:type="spellStart"/>
      <w:r w:rsidRPr="00784E1B">
        <w:rPr>
          <w:b/>
          <w:kern w:val="0"/>
          <w:sz w:val="28"/>
          <w:szCs w:val="28"/>
        </w:rPr>
        <w:t>Metasurface</w:t>
      </w:r>
      <w:proofErr w:type="spellEnd"/>
      <w:r w:rsidRPr="00784E1B">
        <w:rPr>
          <w:b/>
          <w:kern w:val="0"/>
          <w:sz w:val="28"/>
          <w:szCs w:val="28"/>
        </w:rPr>
        <w:t xml:space="preserve"> Engineering: Hierarchical Supercells and Experimental Validation</w:t>
      </w:r>
    </w:p>
    <w:p w14:paraId="2004CE1A" w14:textId="4CD5D847" w:rsidR="005D12C2" w:rsidRPr="00B97E66" w:rsidRDefault="00B97E66">
      <w:pPr>
        <w:autoSpaceDE w:val="0"/>
        <w:autoSpaceDN w:val="0"/>
        <w:adjustRightInd w:val="0"/>
        <w:jc w:val="center"/>
        <w:rPr>
          <w:b/>
          <w:bCs/>
          <w:kern w:val="0"/>
          <w:sz w:val="24"/>
          <w:lang w:val="it-IT"/>
        </w:rPr>
      </w:pPr>
      <w:r w:rsidRPr="00B97E66">
        <w:rPr>
          <w:b/>
          <w:bCs/>
          <w:kern w:val="0"/>
          <w:sz w:val="24"/>
          <w:lang w:val="it-IT"/>
        </w:rPr>
        <w:t>T</w:t>
      </w:r>
      <w:r w:rsidR="00F8438E">
        <w:rPr>
          <w:b/>
          <w:bCs/>
          <w:kern w:val="0"/>
          <w:sz w:val="24"/>
          <w:lang w:val="it-IT"/>
        </w:rPr>
        <w:t xml:space="preserve">atiana </w:t>
      </w:r>
      <w:r w:rsidRPr="00B97E66">
        <w:rPr>
          <w:b/>
          <w:bCs/>
          <w:kern w:val="0"/>
          <w:sz w:val="24"/>
          <w:lang w:val="it-IT"/>
        </w:rPr>
        <w:t>Contino</w:t>
      </w:r>
      <w:r w:rsidR="005D12C2" w:rsidRPr="00B97E66">
        <w:rPr>
          <w:rFonts w:hint="eastAsia"/>
          <w:kern w:val="0"/>
          <w:sz w:val="24"/>
          <w:vertAlign w:val="superscript"/>
          <w:lang w:val="it-IT"/>
        </w:rPr>
        <w:t>1</w:t>
      </w:r>
      <w:r w:rsidR="009819BD">
        <w:rPr>
          <w:kern w:val="0"/>
          <w:sz w:val="24"/>
          <w:vertAlign w:val="superscript"/>
          <w:lang w:val="it-IT"/>
        </w:rPr>
        <w:t>,2</w:t>
      </w:r>
      <w:r w:rsidR="009819BD">
        <w:rPr>
          <w:kern w:val="0"/>
          <w:sz w:val="24"/>
          <w:lang w:val="it-IT"/>
        </w:rPr>
        <w:t>*</w:t>
      </w:r>
      <w:r w:rsidR="005D12C2" w:rsidRPr="00B97E66">
        <w:rPr>
          <w:b/>
          <w:bCs/>
          <w:kern w:val="0"/>
          <w:sz w:val="24"/>
          <w:lang w:val="it-IT"/>
        </w:rPr>
        <w:t xml:space="preserve">, </w:t>
      </w:r>
      <w:r w:rsidRPr="00B97E66">
        <w:rPr>
          <w:b/>
          <w:bCs/>
          <w:kern w:val="0"/>
          <w:sz w:val="24"/>
          <w:lang w:val="it-IT"/>
        </w:rPr>
        <w:t>M</w:t>
      </w:r>
      <w:r w:rsidR="00F8438E">
        <w:rPr>
          <w:b/>
          <w:bCs/>
          <w:kern w:val="0"/>
          <w:sz w:val="24"/>
          <w:lang w:val="it-IT"/>
        </w:rPr>
        <w:t>ichele</w:t>
      </w:r>
      <w:r w:rsidRPr="00B97E66">
        <w:rPr>
          <w:b/>
          <w:bCs/>
          <w:kern w:val="0"/>
          <w:sz w:val="24"/>
          <w:lang w:val="it-IT"/>
        </w:rPr>
        <w:t xml:space="preserve"> Tamagnone</w:t>
      </w:r>
      <w:r w:rsidR="009819BD">
        <w:rPr>
          <w:kern w:val="0"/>
          <w:sz w:val="24"/>
          <w:vertAlign w:val="superscript"/>
          <w:lang w:val="it-IT"/>
        </w:rPr>
        <w:t>1</w:t>
      </w:r>
    </w:p>
    <w:p w14:paraId="32304FF1" w14:textId="77777777" w:rsidR="007A5C52" w:rsidRDefault="005D12C2" w:rsidP="007A5C52">
      <w:pPr>
        <w:autoSpaceDE w:val="0"/>
        <w:autoSpaceDN w:val="0"/>
        <w:adjustRightInd w:val="0"/>
        <w:snapToGrid w:val="0"/>
        <w:spacing w:before="120"/>
        <w:jc w:val="center"/>
        <w:rPr>
          <w:sz w:val="20"/>
          <w:szCs w:val="20"/>
          <w:lang w:val="it-IT"/>
        </w:rPr>
      </w:pPr>
      <w:r w:rsidRPr="007A5C52">
        <w:rPr>
          <w:rFonts w:hint="eastAsia"/>
          <w:kern w:val="0"/>
          <w:sz w:val="20"/>
          <w:szCs w:val="20"/>
          <w:vertAlign w:val="superscript"/>
          <w:lang w:val="it-IT"/>
        </w:rPr>
        <w:t>1</w:t>
      </w:r>
      <w:r w:rsidR="007A5C52" w:rsidRPr="007A5C52">
        <w:rPr>
          <w:sz w:val="20"/>
          <w:szCs w:val="20"/>
          <w:lang w:val="it-IT"/>
        </w:rPr>
        <w:t>Fondazione Istituto Italiano di Tecnologia, via Morego 30, 16163 Genova, Italy</w:t>
      </w:r>
    </w:p>
    <w:p w14:paraId="4AA88E21" w14:textId="64627F44" w:rsidR="005D12C2" w:rsidRPr="00A90C2D" w:rsidRDefault="007A5C52" w:rsidP="007F41EE">
      <w:pPr>
        <w:autoSpaceDE w:val="0"/>
        <w:autoSpaceDN w:val="0"/>
        <w:adjustRightInd w:val="0"/>
        <w:snapToGrid w:val="0"/>
        <w:spacing w:before="120"/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</w:t>
      </w:r>
      <w:r w:rsidR="00C44CA5">
        <w:rPr>
          <w:sz w:val="20"/>
          <w:szCs w:val="20"/>
          <w:lang w:val="it-IT"/>
        </w:rPr>
        <w:t xml:space="preserve">  </w:t>
      </w:r>
      <w:r w:rsidR="007F41EE" w:rsidRPr="004D0FF0">
        <w:rPr>
          <w:rFonts w:hint="eastAsia"/>
          <w:kern w:val="0"/>
          <w:sz w:val="20"/>
          <w:szCs w:val="20"/>
          <w:vertAlign w:val="superscript"/>
          <w:lang w:val="it-IT"/>
        </w:rPr>
        <w:t>2</w:t>
      </w:r>
      <w:r w:rsidRPr="007A5C52">
        <w:rPr>
          <w:sz w:val="20"/>
          <w:szCs w:val="20"/>
          <w:lang w:val="it-IT"/>
        </w:rPr>
        <w:t>Dipartimento di Chimica e Chimica Industriale, Università di Genova, Genova, Italy</w:t>
      </w:r>
    </w:p>
    <w:p w14:paraId="3F6154A4" w14:textId="31C6EAA7" w:rsidR="00467076" w:rsidRPr="009528B5" w:rsidRDefault="00467076" w:rsidP="009528B5">
      <w:pPr>
        <w:autoSpaceDE w:val="0"/>
        <w:autoSpaceDN w:val="0"/>
        <w:adjustRightInd w:val="0"/>
        <w:snapToGrid w:val="0"/>
        <w:jc w:val="center"/>
        <w:rPr>
          <w:kern w:val="0"/>
          <w:sz w:val="20"/>
          <w:szCs w:val="20"/>
        </w:rPr>
      </w:pPr>
      <w:r w:rsidRPr="009528B5">
        <w:rPr>
          <w:kern w:val="0"/>
          <w:sz w:val="20"/>
          <w:szCs w:val="20"/>
          <w:vertAlign w:val="superscript"/>
        </w:rPr>
        <w:t>*</w:t>
      </w:r>
      <w:r w:rsidR="007F41EE" w:rsidRPr="009528B5">
        <w:rPr>
          <w:kern w:val="0"/>
          <w:sz w:val="20"/>
          <w:szCs w:val="20"/>
        </w:rPr>
        <w:t>Corresponding</w:t>
      </w:r>
      <w:r w:rsidRPr="009528B5">
        <w:rPr>
          <w:kern w:val="0"/>
          <w:sz w:val="20"/>
          <w:szCs w:val="20"/>
        </w:rPr>
        <w:t xml:space="preserve"> author: </w:t>
      </w:r>
      <w:hyperlink r:id="rId8" w:history="1">
        <w:r w:rsidR="007F41EE" w:rsidRPr="007F41EE">
          <w:rPr>
            <w:rStyle w:val="Hyperlink"/>
            <w:color w:val="000000" w:themeColor="text1"/>
            <w:kern w:val="0"/>
            <w:sz w:val="20"/>
            <w:szCs w:val="20"/>
          </w:rPr>
          <w:t>tatiana.contino@iit.it</w:t>
        </w:r>
      </w:hyperlink>
      <w:r w:rsidR="007F41EE" w:rsidRPr="007F41EE">
        <w:rPr>
          <w:color w:val="000000" w:themeColor="text1"/>
          <w:kern w:val="0"/>
          <w:sz w:val="20"/>
          <w:szCs w:val="20"/>
        </w:rPr>
        <w:t xml:space="preserve"> </w:t>
      </w:r>
    </w:p>
    <w:p w14:paraId="13F8EA74" w14:textId="77777777" w:rsidR="005D12C2" w:rsidRDefault="005D12C2"/>
    <w:p w14:paraId="74C6A10D" w14:textId="629C12C1" w:rsidR="008644A7" w:rsidRPr="00A90C2D" w:rsidRDefault="005D12C2" w:rsidP="00A90C2D">
      <w:pPr>
        <w:autoSpaceDE w:val="0"/>
        <w:autoSpaceDN w:val="0"/>
        <w:adjustRightInd w:val="0"/>
        <w:rPr>
          <w:kern w:val="0"/>
          <w:sz w:val="22"/>
          <w:szCs w:val="22"/>
        </w:rPr>
      </w:pPr>
      <w:r w:rsidRPr="00E366D6">
        <w:rPr>
          <w:rFonts w:hint="eastAsia"/>
          <w:b/>
          <w:bCs/>
          <w:kern w:val="0"/>
          <w:sz w:val="22"/>
          <w:szCs w:val="22"/>
        </w:rPr>
        <w:t>Abstract</w:t>
      </w:r>
      <w:r w:rsidR="00C77594" w:rsidRPr="00E366D6">
        <w:rPr>
          <w:b/>
          <w:bCs/>
          <w:kern w:val="0"/>
          <w:sz w:val="22"/>
          <w:szCs w:val="22"/>
        </w:rPr>
        <w:t xml:space="preserve">: </w:t>
      </w:r>
      <w:r w:rsidR="000343EA">
        <w:rPr>
          <w:kern w:val="0"/>
          <w:sz w:val="22"/>
          <w:szCs w:val="22"/>
        </w:rPr>
        <w:t>In this work</w:t>
      </w:r>
      <w:r w:rsidR="00D4542A">
        <w:rPr>
          <w:kern w:val="0"/>
          <w:sz w:val="22"/>
          <w:szCs w:val="22"/>
        </w:rPr>
        <w:t>,</w:t>
      </w:r>
      <w:r w:rsidR="000343EA">
        <w:rPr>
          <w:kern w:val="0"/>
          <w:sz w:val="22"/>
          <w:szCs w:val="22"/>
        </w:rPr>
        <w:t xml:space="preserve"> we</w:t>
      </w:r>
      <w:r w:rsidR="00D4542A">
        <w:rPr>
          <w:kern w:val="0"/>
          <w:sz w:val="22"/>
          <w:szCs w:val="22"/>
        </w:rPr>
        <w:t xml:space="preserve"> </w:t>
      </w:r>
      <w:r w:rsidR="000343EA">
        <w:rPr>
          <w:kern w:val="0"/>
          <w:sz w:val="22"/>
          <w:szCs w:val="22"/>
        </w:rPr>
        <w:t xml:space="preserve">demonstrate a new concept of metasurfaces based on </w:t>
      </w:r>
      <w:r w:rsidR="00D4542A">
        <w:rPr>
          <w:kern w:val="0"/>
          <w:sz w:val="22"/>
          <w:szCs w:val="22"/>
        </w:rPr>
        <w:t xml:space="preserve">a </w:t>
      </w:r>
      <w:r w:rsidR="000343EA">
        <w:rPr>
          <w:kern w:val="0"/>
          <w:sz w:val="22"/>
          <w:szCs w:val="22"/>
        </w:rPr>
        <w:t>generalization of supercells. In general</w:t>
      </w:r>
      <w:r w:rsidR="00D4542A">
        <w:rPr>
          <w:kern w:val="0"/>
          <w:sz w:val="22"/>
          <w:szCs w:val="22"/>
        </w:rPr>
        <w:t>,</w:t>
      </w:r>
      <w:r w:rsidR="000343EA">
        <w:rPr>
          <w:kern w:val="0"/>
          <w:sz w:val="22"/>
          <w:szCs w:val="22"/>
        </w:rPr>
        <w:t xml:space="preserve"> </w:t>
      </w:r>
      <w:r w:rsidR="008E6180">
        <w:rPr>
          <w:kern w:val="0"/>
          <w:sz w:val="22"/>
          <w:szCs w:val="22"/>
        </w:rPr>
        <w:t>these</w:t>
      </w:r>
      <w:r w:rsidR="000343EA">
        <w:rPr>
          <w:kern w:val="0"/>
          <w:sz w:val="22"/>
          <w:szCs w:val="22"/>
        </w:rPr>
        <w:t xml:space="preserve"> supercell</w:t>
      </w:r>
      <w:r w:rsidR="00D4542A">
        <w:rPr>
          <w:kern w:val="0"/>
          <w:sz w:val="22"/>
          <w:szCs w:val="22"/>
        </w:rPr>
        <w:t>s</w:t>
      </w:r>
      <w:r w:rsidR="000343EA">
        <w:rPr>
          <w:kern w:val="0"/>
          <w:sz w:val="22"/>
          <w:szCs w:val="22"/>
        </w:rPr>
        <w:t xml:space="preserve"> consist of a series of </w:t>
      </w:r>
      <w:r w:rsidR="006F500E">
        <w:rPr>
          <w:kern w:val="0"/>
          <w:sz w:val="22"/>
          <w:szCs w:val="22"/>
        </w:rPr>
        <w:t xml:space="preserve">unit </w:t>
      </w:r>
      <w:r w:rsidR="000343EA">
        <w:rPr>
          <w:kern w:val="0"/>
          <w:sz w:val="22"/>
          <w:szCs w:val="22"/>
        </w:rPr>
        <w:t xml:space="preserve">cells that combine </w:t>
      </w:r>
      <w:r w:rsidR="003E28EF">
        <w:rPr>
          <w:kern w:val="0"/>
          <w:sz w:val="22"/>
          <w:szCs w:val="22"/>
        </w:rPr>
        <w:t xml:space="preserve">with </w:t>
      </w:r>
      <w:r w:rsidR="000343EA">
        <w:rPr>
          <w:kern w:val="0"/>
          <w:sz w:val="22"/>
          <w:szCs w:val="22"/>
        </w:rPr>
        <w:t xml:space="preserve">each other </w:t>
      </w:r>
      <w:r w:rsidR="00D4542A">
        <w:rPr>
          <w:kern w:val="0"/>
          <w:sz w:val="22"/>
          <w:szCs w:val="22"/>
        </w:rPr>
        <w:t xml:space="preserve">to </w:t>
      </w:r>
      <w:r w:rsidR="004F50E1">
        <w:rPr>
          <w:kern w:val="0"/>
          <w:sz w:val="22"/>
          <w:szCs w:val="22"/>
        </w:rPr>
        <w:t xml:space="preserve">achieve a specific function. </w:t>
      </w:r>
      <w:r w:rsidR="003C31A0">
        <w:rPr>
          <w:kern w:val="0"/>
          <w:sz w:val="22"/>
          <w:szCs w:val="22"/>
        </w:rPr>
        <w:t>We present hierarchical supercells (supercells of supercells)</w:t>
      </w:r>
      <w:r w:rsidR="00503538">
        <w:rPr>
          <w:kern w:val="0"/>
          <w:sz w:val="22"/>
          <w:szCs w:val="22"/>
        </w:rPr>
        <w:t>,</w:t>
      </w:r>
      <w:r w:rsidR="003C31A0">
        <w:rPr>
          <w:kern w:val="0"/>
          <w:sz w:val="22"/>
          <w:szCs w:val="22"/>
        </w:rPr>
        <w:t xml:space="preserve"> and we extend supercell</w:t>
      </w:r>
      <w:r w:rsidR="00AF70DB">
        <w:rPr>
          <w:kern w:val="0"/>
          <w:sz w:val="22"/>
          <w:szCs w:val="22"/>
        </w:rPr>
        <w:t>s</w:t>
      </w:r>
      <w:r w:rsidR="003C31A0">
        <w:rPr>
          <w:kern w:val="0"/>
          <w:sz w:val="22"/>
          <w:szCs w:val="22"/>
        </w:rPr>
        <w:t xml:space="preserve"> to general </w:t>
      </w:r>
      <w:r w:rsidR="00DC3178">
        <w:rPr>
          <w:kern w:val="0"/>
          <w:sz w:val="22"/>
          <w:szCs w:val="22"/>
        </w:rPr>
        <w:t>2D Bravais Lattice</w:t>
      </w:r>
      <w:r w:rsidR="003C31A0">
        <w:rPr>
          <w:kern w:val="0"/>
          <w:sz w:val="22"/>
          <w:szCs w:val="22"/>
        </w:rPr>
        <w:t>, providing a simple mathematical framework</w:t>
      </w:r>
      <w:r w:rsidR="00D2690A">
        <w:rPr>
          <w:kern w:val="0"/>
          <w:sz w:val="22"/>
          <w:szCs w:val="22"/>
        </w:rPr>
        <w:t xml:space="preserve"> to describe the resulting </w:t>
      </w:r>
      <w:proofErr w:type="spellStart"/>
      <w:r w:rsidR="00D2690A">
        <w:rPr>
          <w:kern w:val="0"/>
          <w:sz w:val="22"/>
          <w:szCs w:val="22"/>
        </w:rPr>
        <w:t>metagratings</w:t>
      </w:r>
      <w:proofErr w:type="spellEnd"/>
      <w:r w:rsidR="00D2690A">
        <w:rPr>
          <w:kern w:val="0"/>
          <w:sz w:val="22"/>
          <w:szCs w:val="22"/>
        </w:rPr>
        <w:t>.</w:t>
      </w:r>
    </w:p>
    <w:p w14:paraId="031D67D6" w14:textId="77777777" w:rsidR="007A609E" w:rsidRDefault="007A609E" w:rsidP="007A609E">
      <w:pPr>
        <w:pStyle w:val="BodyText"/>
      </w:pPr>
    </w:p>
    <w:p w14:paraId="4B9D3E39" w14:textId="7F1C4FCE" w:rsidR="006A5C86" w:rsidRDefault="009A138C" w:rsidP="00E6104C">
      <w:pPr>
        <w:widowControl/>
        <w:autoSpaceDE w:val="0"/>
        <w:autoSpaceDN w:val="0"/>
        <w:adjustRightInd w:val="0"/>
        <w:rPr>
          <w:kern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  </w:t>
      </w:r>
      <w:r w:rsidR="007A609E" w:rsidRPr="009A138C">
        <w:rPr>
          <w:sz w:val="22"/>
          <w:szCs w:val="22"/>
        </w:rPr>
        <w:t>Metasurfaces are</w:t>
      </w:r>
      <w:r w:rsidR="00366A77">
        <w:rPr>
          <w:sz w:val="22"/>
          <w:szCs w:val="22"/>
        </w:rPr>
        <w:t xml:space="preserve"> artificial planar materials consist</w:t>
      </w:r>
      <w:r w:rsidR="00AE7F55">
        <w:rPr>
          <w:sz w:val="22"/>
          <w:szCs w:val="22"/>
        </w:rPr>
        <w:t>ing</w:t>
      </w:r>
      <w:r w:rsidR="007A609E" w:rsidRPr="009A138C">
        <w:rPr>
          <w:sz w:val="22"/>
          <w:szCs w:val="22"/>
        </w:rPr>
        <w:t xml:space="preserve"> of</w:t>
      </w:r>
      <w:r w:rsidR="00FF2A92">
        <w:rPr>
          <w:sz w:val="22"/>
          <w:szCs w:val="22"/>
        </w:rPr>
        <w:t xml:space="preserve"> arrays of</w:t>
      </w:r>
      <w:r w:rsidR="007A609E" w:rsidRPr="009A138C">
        <w:rPr>
          <w:sz w:val="22"/>
          <w:szCs w:val="22"/>
        </w:rPr>
        <w:t xml:space="preserve"> subwavelength-spaces</w:t>
      </w:r>
      <w:r w:rsidR="00FF2A92">
        <w:rPr>
          <w:sz w:val="22"/>
          <w:szCs w:val="22"/>
        </w:rPr>
        <w:t xml:space="preserve"> nanostructures</w:t>
      </w:r>
      <w:r w:rsidR="007A609E" w:rsidRPr="009A138C">
        <w:rPr>
          <w:sz w:val="22"/>
          <w:szCs w:val="22"/>
        </w:rPr>
        <w:t xml:space="preserve"> at an interface, </w:t>
      </w:r>
      <w:r w:rsidR="00D4542A">
        <w:rPr>
          <w:sz w:val="22"/>
          <w:szCs w:val="22"/>
        </w:rPr>
        <w:t>allowing</w:t>
      </w:r>
      <w:r w:rsidR="007A609E" w:rsidRPr="009A138C">
        <w:rPr>
          <w:kern w:val="0"/>
          <w:sz w:val="22"/>
          <w:szCs w:val="22"/>
          <w:lang w:eastAsia="en-US"/>
        </w:rPr>
        <w:t xml:space="preserve"> for unprecedented control over the properties of light</w:t>
      </w:r>
      <w:r w:rsidR="00AE7F55">
        <w:rPr>
          <w:kern w:val="0"/>
          <w:sz w:val="22"/>
          <w:szCs w:val="22"/>
          <w:lang w:eastAsia="en-US"/>
        </w:rPr>
        <w:t xml:space="preserve"> like phase, amplitude</w:t>
      </w:r>
      <w:r w:rsidR="007A609E" w:rsidRPr="009A138C">
        <w:rPr>
          <w:kern w:val="0"/>
          <w:sz w:val="22"/>
          <w:szCs w:val="22"/>
          <w:lang w:eastAsia="en-US"/>
        </w:rPr>
        <w:t>,</w:t>
      </w:r>
      <w:r w:rsidR="00AE7F55">
        <w:rPr>
          <w:kern w:val="0"/>
          <w:sz w:val="22"/>
          <w:szCs w:val="22"/>
          <w:lang w:eastAsia="en-US"/>
        </w:rPr>
        <w:t xml:space="preserve"> and polarization</w:t>
      </w:r>
      <w:r w:rsidR="006F500E">
        <w:rPr>
          <w:kern w:val="0"/>
          <w:sz w:val="22"/>
          <w:szCs w:val="22"/>
          <w:lang w:eastAsia="en-US"/>
        </w:rPr>
        <w:t>,</w:t>
      </w:r>
      <w:r w:rsidR="007A609E" w:rsidRPr="009A138C">
        <w:rPr>
          <w:kern w:val="0"/>
          <w:sz w:val="22"/>
          <w:szCs w:val="22"/>
          <w:lang w:eastAsia="en-US"/>
        </w:rPr>
        <w:t xml:space="preserve"> </w:t>
      </w:r>
      <w:r w:rsidR="006F500E">
        <w:rPr>
          <w:kern w:val="0"/>
          <w:sz w:val="22"/>
          <w:szCs w:val="22"/>
          <w:lang w:eastAsia="en-US"/>
        </w:rPr>
        <w:t xml:space="preserve">and </w:t>
      </w:r>
      <w:r w:rsidR="007A609E" w:rsidRPr="009A138C">
        <w:rPr>
          <w:kern w:val="0"/>
          <w:sz w:val="22"/>
          <w:szCs w:val="22"/>
          <w:lang w:eastAsia="en-US"/>
        </w:rPr>
        <w:t xml:space="preserve">have </w:t>
      </w:r>
      <w:r w:rsidR="007E32B3">
        <w:rPr>
          <w:kern w:val="0"/>
          <w:sz w:val="22"/>
          <w:szCs w:val="22"/>
          <w:lang w:eastAsia="en-US"/>
        </w:rPr>
        <w:t xml:space="preserve">allow multiple and </w:t>
      </w:r>
      <w:r w:rsidR="007A609E" w:rsidRPr="009A138C">
        <w:rPr>
          <w:kern w:val="0"/>
          <w:sz w:val="22"/>
          <w:szCs w:val="22"/>
          <w:lang w:eastAsia="en-US"/>
        </w:rPr>
        <w:t xml:space="preserve">versatile functionalities in a </w:t>
      </w:r>
      <w:r w:rsidR="00EA548E">
        <w:rPr>
          <w:kern w:val="0"/>
          <w:sz w:val="22"/>
          <w:szCs w:val="22"/>
          <w:lang w:eastAsia="en-US"/>
        </w:rPr>
        <w:t>single device</w:t>
      </w:r>
      <w:r w:rsidR="00E66B13">
        <w:rPr>
          <w:kern w:val="0"/>
          <w:sz w:val="22"/>
          <w:szCs w:val="22"/>
          <w:lang w:eastAsia="en-US"/>
        </w:rPr>
        <w:t xml:space="preserve"> </w:t>
      </w:r>
      <w:r w:rsidR="00EA548E" w:rsidRPr="00E66B13">
        <w:rPr>
          <w:kern w:val="0"/>
          <w:sz w:val="22"/>
          <w:szCs w:val="22"/>
          <w:lang w:eastAsia="en-US"/>
        </w:rPr>
        <w:t>[</w:t>
      </w:r>
      <w:r w:rsidR="00B97E66" w:rsidRPr="00E66B13">
        <w:rPr>
          <w:kern w:val="0"/>
          <w:sz w:val="22"/>
          <w:szCs w:val="22"/>
          <w:lang w:eastAsia="en-US"/>
        </w:rPr>
        <w:t>1,2</w:t>
      </w:r>
      <w:r w:rsidR="00EA548E" w:rsidRPr="00E66B13">
        <w:rPr>
          <w:kern w:val="0"/>
          <w:sz w:val="22"/>
          <w:szCs w:val="22"/>
          <w:lang w:eastAsia="en-US"/>
        </w:rPr>
        <w:t>]</w:t>
      </w:r>
      <w:r w:rsidR="00BE075B">
        <w:rPr>
          <w:kern w:val="0"/>
          <w:sz w:val="22"/>
          <w:szCs w:val="22"/>
          <w:lang w:eastAsia="en-US"/>
        </w:rPr>
        <w:t>.</w:t>
      </w:r>
      <w:r w:rsidR="002E0658" w:rsidRPr="00BE075B">
        <w:rPr>
          <w:kern w:val="0"/>
          <w:sz w:val="22"/>
          <w:szCs w:val="22"/>
          <w:vertAlign w:val="superscript"/>
          <w:lang w:eastAsia="en-US"/>
        </w:rPr>
        <w:t xml:space="preserve"> </w:t>
      </w:r>
      <w:r w:rsidR="003E28EF">
        <w:rPr>
          <w:kern w:val="0"/>
          <w:sz w:val="22"/>
          <w:szCs w:val="22"/>
          <w:lang w:eastAsia="en-US"/>
        </w:rPr>
        <w:t>In general, metasurfaces</w:t>
      </w:r>
      <w:r w:rsidR="003E47E0">
        <w:rPr>
          <w:kern w:val="0"/>
          <w:sz w:val="22"/>
          <w:szCs w:val="22"/>
          <w:lang w:eastAsia="en-US"/>
        </w:rPr>
        <w:t xml:space="preserve"> are obtained </w:t>
      </w:r>
      <w:r w:rsidR="00D213F9">
        <w:rPr>
          <w:kern w:val="0"/>
          <w:sz w:val="22"/>
          <w:szCs w:val="22"/>
          <w:lang w:eastAsia="en-US"/>
        </w:rPr>
        <w:t>through</w:t>
      </w:r>
      <w:r w:rsidR="00E01794">
        <w:rPr>
          <w:kern w:val="0"/>
          <w:sz w:val="22"/>
          <w:szCs w:val="22"/>
          <w:lang w:eastAsia="en-US"/>
        </w:rPr>
        <w:t xml:space="preserve"> subwavelength unit cells </w:t>
      </w:r>
      <w:r w:rsidR="00E01794" w:rsidRPr="00E01794">
        <w:rPr>
          <w:kern w:val="0"/>
          <w:sz w:val="22"/>
          <w:szCs w:val="22"/>
          <w:lang w:eastAsia="en-US"/>
        </w:rPr>
        <w:t>designed to impart a</w:t>
      </w:r>
      <w:r w:rsidR="00EB0399">
        <w:rPr>
          <w:kern w:val="0"/>
          <w:sz w:val="22"/>
          <w:szCs w:val="22"/>
          <w:lang w:eastAsia="en-US"/>
        </w:rPr>
        <w:t xml:space="preserve"> local</w:t>
      </w:r>
      <w:r w:rsidR="00E01794" w:rsidRPr="00E01794">
        <w:rPr>
          <w:kern w:val="0"/>
          <w:sz w:val="22"/>
          <w:szCs w:val="22"/>
          <w:lang w:eastAsia="en-US"/>
        </w:rPr>
        <w:t xml:space="preserve"> phase profile to light propagating through the cell</w:t>
      </w:r>
      <w:r w:rsidR="00E01794">
        <w:rPr>
          <w:kern w:val="0"/>
          <w:sz w:val="22"/>
          <w:szCs w:val="22"/>
          <w:lang w:eastAsia="en-US"/>
        </w:rPr>
        <w:t>.</w:t>
      </w:r>
      <w:r w:rsidR="006A1DFC">
        <w:rPr>
          <w:kern w:val="0"/>
          <w:sz w:val="22"/>
          <w:szCs w:val="22"/>
          <w:lang w:eastAsia="en-US"/>
        </w:rPr>
        <w:t xml:space="preserve"> </w:t>
      </w:r>
      <w:r w:rsidR="006A1DFC" w:rsidRPr="006A1DFC">
        <w:rPr>
          <w:kern w:val="0"/>
          <w:sz w:val="22"/>
          <w:szCs w:val="22"/>
          <w:lang w:eastAsia="en-US"/>
        </w:rPr>
        <w:t xml:space="preserve">Multiple functions such as focusing, holograms, polarization functions, and beam shaping can be achieved by </w:t>
      </w:r>
      <w:r w:rsidR="000C0683">
        <w:rPr>
          <w:kern w:val="0"/>
          <w:sz w:val="22"/>
          <w:szCs w:val="22"/>
          <w:lang w:eastAsia="en-US"/>
        </w:rPr>
        <w:t>this technique.</w:t>
      </w:r>
      <w:r w:rsidR="002E0658">
        <w:rPr>
          <w:kern w:val="0"/>
          <w:sz w:val="22"/>
          <w:szCs w:val="22"/>
          <w:lang w:eastAsia="en-US"/>
        </w:rPr>
        <w:t xml:space="preserve"> </w:t>
      </w:r>
      <w:r w:rsidR="000C0683">
        <w:rPr>
          <w:kern w:val="0"/>
          <w:sz w:val="22"/>
          <w:szCs w:val="22"/>
          <w:lang w:eastAsia="en-US"/>
        </w:rPr>
        <w:t xml:space="preserve">Using supercells </w:t>
      </w:r>
      <w:r w:rsidR="00FF096E">
        <w:rPr>
          <w:kern w:val="0"/>
          <w:sz w:val="22"/>
          <w:szCs w:val="22"/>
          <w:lang w:eastAsia="en-US"/>
        </w:rPr>
        <w:t>(arrangements of multiple cells which can are optimized together in the design), it is possible to achieve multiple functions</w:t>
      </w:r>
      <w:r w:rsidR="00AC5BF1">
        <w:rPr>
          <w:kern w:val="0"/>
          <w:sz w:val="22"/>
          <w:szCs w:val="22"/>
          <w:lang w:eastAsia="en-US"/>
        </w:rPr>
        <w:t xml:space="preserve"> at same </w:t>
      </w:r>
      <w:proofErr w:type="gramStart"/>
      <w:r w:rsidR="00AC5BF1">
        <w:rPr>
          <w:kern w:val="0"/>
          <w:sz w:val="22"/>
          <w:szCs w:val="22"/>
          <w:lang w:eastAsia="en-US"/>
        </w:rPr>
        <w:t>time</w:t>
      </w:r>
      <w:r w:rsidR="00AC5BF1" w:rsidRPr="00E66B13">
        <w:rPr>
          <w:kern w:val="0"/>
          <w:sz w:val="22"/>
          <w:szCs w:val="22"/>
          <w:lang w:eastAsia="en-US"/>
        </w:rPr>
        <w:t>[</w:t>
      </w:r>
      <w:proofErr w:type="gramEnd"/>
      <w:r w:rsidR="00B97E66" w:rsidRPr="00E66B13">
        <w:rPr>
          <w:kern w:val="0"/>
          <w:sz w:val="22"/>
          <w:szCs w:val="22"/>
          <w:lang w:eastAsia="en-US"/>
        </w:rPr>
        <w:t>3</w:t>
      </w:r>
      <w:r w:rsidR="00AC5BF1" w:rsidRPr="00E66B13">
        <w:rPr>
          <w:kern w:val="0"/>
          <w:sz w:val="22"/>
          <w:szCs w:val="22"/>
          <w:lang w:eastAsia="en-US"/>
        </w:rPr>
        <w:t>]</w:t>
      </w:r>
      <w:r w:rsidR="00BE075B">
        <w:rPr>
          <w:kern w:val="0"/>
          <w:sz w:val="22"/>
          <w:szCs w:val="22"/>
          <w:lang w:eastAsia="en-US"/>
        </w:rPr>
        <w:t xml:space="preserve">. </w:t>
      </w:r>
      <w:r w:rsidR="00541582" w:rsidRPr="00541582">
        <w:rPr>
          <w:kern w:val="0"/>
          <w:sz w:val="22"/>
          <w:szCs w:val="22"/>
          <w:lang w:eastAsia="en-US"/>
        </w:rPr>
        <w:t>When the supercell is repeated periodically, the device behaves as a grating</w:t>
      </w:r>
      <w:r w:rsidR="00541582">
        <w:rPr>
          <w:kern w:val="0"/>
          <w:sz w:val="22"/>
          <w:szCs w:val="22"/>
          <w:lang w:eastAsia="en-US"/>
        </w:rPr>
        <w:t xml:space="preserve">, </w:t>
      </w:r>
      <w:r w:rsidR="00541582" w:rsidRPr="00541582">
        <w:rPr>
          <w:kern w:val="0"/>
          <w:sz w:val="22"/>
          <w:szCs w:val="22"/>
          <w:lang w:eastAsia="en-US"/>
        </w:rPr>
        <w:t>splitting the light in multiple diffraction orders</w:t>
      </w:r>
      <w:r w:rsidR="00A905BA">
        <w:rPr>
          <w:kern w:val="0"/>
          <w:sz w:val="22"/>
          <w:szCs w:val="22"/>
          <w:lang w:eastAsia="en-US"/>
        </w:rPr>
        <w:t xml:space="preserve"> (</w:t>
      </w:r>
      <w:proofErr w:type="spellStart"/>
      <w:r w:rsidR="00A905BA" w:rsidRPr="00A905BA">
        <w:rPr>
          <w:i/>
          <w:iCs/>
          <w:kern w:val="0"/>
          <w:sz w:val="22"/>
          <w:szCs w:val="22"/>
          <w:lang w:eastAsia="en-US"/>
        </w:rPr>
        <w:t>metagrating</w:t>
      </w:r>
      <w:proofErr w:type="spellEnd"/>
      <w:r w:rsidR="00A905BA">
        <w:rPr>
          <w:kern w:val="0"/>
          <w:sz w:val="22"/>
          <w:szCs w:val="22"/>
          <w:lang w:eastAsia="en-US"/>
        </w:rPr>
        <w:t>)</w:t>
      </w:r>
      <w:r w:rsidR="00541582" w:rsidRPr="00541582">
        <w:rPr>
          <w:kern w:val="0"/>
          <w:sz w:val="22"/>
          <w:szCs w:val="22"/>
          <w:lang w:eastAsia="en-US"/>
        </w:rPr>
        <w:t xml:space="preserve">. </w:t>
      </w:r>
      <w:r w:rsidR="00F212D1" w:rsidRPr="00F212D1">
        <w:rPr>
          <w:kern w:val="0"/>
          <w:sz w:val="22"/>
          <w:szCs w:val="22"/>
          <w:lang w:eastAsia="en-US"/>
        </w:rPr>
        <w:t>The size of the supercells determines the number and direction of diffraction orders to be considered</w:t>
      </w:r>
      <w:r w:rsidR="00E56E3F">
        <w:rPr>
          <w:kern w:val="0"/>
          <w:sz w:val="22"/>
          <w:szCs w:val="22"/>
          <w:lang w:eastAsia="en-US"/>
        </w:rPr>
        <w:t xml:space="preserve"> </w:t>
      </w:r>
      <w:r w:rsidR="00F212D1" w:rsidRPr="006A5C86">
        <w:rPr>
          <w:kern w:val="0"/>
          <w:sz w:val="22"/>
          <w:szCs w:val="22"/>
          <w:lang w:eastAsia="en-US"/>
        </w:rPr>
        <w:t xml:space="preserve">while </w:t>
      </w:r>
      <w:r w:rsidR="006A5C86" w:rsidRPr="006A5C86">
        <w:rPr>
          <w:kern w:val="0"/>
          <w:sz w:val="22"/>
          <w:szCs w:val="22"/>
          <w:lang w:eastAsia="en-US"/>
        </w:rPr>
        <w:t xml:space="preserve">the geometry of the </w:t>
      </w:r>
      <w:r w:rsidR="006F1F27">
        <w:rPr>
          <w:kern w:val="0"/>
          <w:sz w:val="22"/>
          <w:szCs w:val="22"/>
          <w:lang w:eastAsia="en-US"/>
        </w:rPr>
        <w:t>nanostructures</w:t>
      </w:r>
      <w:r w:rsidR="006A5C86" w:rsidRPr="006A5C86">
        <w:rPr>
          <w:kern w:val="0"/>
          <w:sz w:val="22"/>
          <w:szCs w:val="22"/>
          <w:lang w:eastAsia="en-US"/>
        </w:rPr>
        <w:t xml:space="preserve"> present in the </w:t>
      </w:r>
      <w:r w:rsidR="006A5C86">
        <w:rPr>
          <w:kern w:val="0"/>
          <w:sz w:val="22"/>
          <w:szCs w:val="22"/>
          <w:lang w:eastAsia="en-US"/>
        </w:rPr>
        <w:t xml:space="preserve">unit </w:t>
      </w:r>
      <w:r w:rsidR="006A5C86" w:rsidRPr="006A5C86">
        <w:rPr>
          <w:kern w:val="0"/>
          <w:sz w:val="22"/>
          <w:szCs w:val="22"/>
          <w:lang w:eastAsia="en-US"/>
        </w:rPr>
        <w:t>cell</w:t>
      </w:r>
      <w:r w:rsidR="006A5C86">
        <w:rPr>
          <w:kern w:val="0"/>
          <w:sz w:val="22"/>
          <w:szCs w:val="22"/>
          <w:lang w:eastAsia="en-US"/>
        </w:rPr>
        <w:t xml:space="preserve"> </w:t>
      </w:r>
      <w:r w:rsidR="006A5C86" w:rsidRPr="006A5C86">
        <w:rPr>
          <w:kern w:val="0"/>
          <w:sz w:val="22"/>
          <w:szCs w:val="22"/>
          <w:lang w:eastAsia="en-US"/>
        </w:rPr>
        <w:t>determines the local effect of</w:t>
      </w:r>
      <w:r w:rsidR="006A5C86">
        <w:rPr>
          <w:kern w:val="0"/>
          <w:sz w:val="22"/>
          <w:szCs w:val="22"/>
          <w:lang w:eastAsia="en-US"/>
        </w:rPr>
        <w:t xml:space="preserve"> </w:t>
      </w:r>
      <w:r w:rsidR="006A5C86" w:rsidRPr="006A5C86">
        <w:rPr>
          <w:kern w:val="0"/>
          <w:sz w:val="22"/>
          <w:szCs w:val="22"/>
          <w:lang w:eastAsia="en-US"/>
        </w:rPr>
        <w:t xml:space="preserve">the </w:t>
      </w:r>
      <w:proofErr w:type="spellStart"/>
      <w:r w:rsidR="006A5C86" w:rsidRPr="006A5C86">
        <w:rPr>
          <w:kern w:val="0"/>
          <w:sz w:val="22"/>
          <w:szCs w:val="22"/>
          <w:lang w:eastAsia="en-US"/>
        </w:rPr>
        <w:t>metasurface</w:t>
      </w:r>
      <w:proofErr w:type="spellEnd"/>
      <w:r w:rsidR="006A5C86" w:rsidRPr="006A5C86">
        <w:rPr>
          <w:kern w:val="0"/>
          <w:sz w:val="22"/>
          <w:szCs w:val="22"/>
          <w:lang w:eastAsia="en-US"/>
        </w:rPr>
        <w:t xml:space="preserve"> on light</w:t>
      </w:r>
      <w:r w:rsidR="006A5C86">
        <w:rPr>
          <w:kern w:val="0"/>
          <w:sz w:val="22"/>
          <w:szCs w:val="22"/>
          <w:lang w:eastAsia="en-US"/>
        </w:rPr>
        <w:t>.</w:t>
      </w:r>
    </w:p>
    <w:p w14:paraId="28342415" w14:textId="77777777" w:rsidR="002E0658" w:rsidRDefault="005564D9" w:rsidP="00E6104C">
      <w:pPr>
        <w:widowControl/>
        <w:autoSpaceDE w:val="0"/>
        <w:autoSpaceDN w:val="0"/>
        <w:adjustRightInd w:val="0"/>
        <w:rPr>
          <w:kern w:val="0"/>
          <w:sz w:val="22"/>
          <w:szCs w:val="22"/>
          <w:lang w:eastAsia="en-US"/>
        </w:rPr>
      </w:pPr>
      <w:r>
        <w:rPr>
          <w:kern w:val="0"/>
          <w:sz w:val="22"/>
          <w:szCs w:val="22"/>
          <w:lang w:eastAsia="en-US"/>
        </w:rPr>
        <w:t>In this work, we</w:t>
      </w:r>
      <w:r w:rsidR="0053462D">
        <w:rPr>
          <w:kern w:val="0"/>
          <w:sz w:val="22"/>
          <w:szCs w:val="22"/>
          <w:lang w:eastAsia="en-US"/>
        </w:rPr>
        <w:t xml:space="preserve"> generalize the concept of supercell</w:t>
      </w:r>
      <w:r w:rsidR="00E45E97">
        <w:rPr>
          <w:kern w:val="0"/>
          <w:sz w:val="22"/>
          <w:szCs w:val="22"/>
          <w:lang w:eastAsia="en-US"/>
        </w:rPr>
        <w:t>s</w:t>
      </w:r>
      <w:r w:rsidR="00A905BA">
        <w:rPr>
          <w:kern w:val="0"/>
          <w:sz w:val="22"/>
          <w:szCs w:val="22"/>
          <w:lang w:eastAsia="en-US"/>
        </w:rPr>
        <w:t xml:space="preserve"> in two ways: (</w:t>
      </w:r>
      <w:proofErr w:type="spellStart"/>
      <w:r w:rsidR="00A905BA">
        <w:rPr>
          <w:kern w:val="0"/>
          <w:sz w:val="22"/>
          <w:szCs w:val="22"/>
          <w:lang w:eastAsia="en-US"/>
        </w:rPr>
        <w:t>i</w:t>
      </w:r>
      <w:proofErr w:type="spellEnd"/>
      <w:r w:rsidR="00A905BA">
        <w:rPr>
          <w:kern w:val="0"/>
          <w:sz w:val="22"/>
          <w:szCs w:val="22"/>
          <w:lang w:eastAsia="en-US"/>
        </w:rPr>
        <w:t>)</w:t>
      </w:r>
      <w:r w:rsidR="00685755">
        <w:rPr>
          <w:kern w:val="0"/>
          <w:sz w:val="22"/>
          <w:szCs w:val="22"/>
          <w:lang w:eastAsia="en-US"/>
        </w:rPr>
        <w:t xml:space="preserve"> using hierarchies</w:t>
      </w:r>
      <w:r w:rsidR="00E45E97">
        <w:rPr>
          <w:kern w:val="0"/>
          <w:sz w:val="22"/>
          <w:szCs w:val="22"/>
          <w:lang w:eastAsia="en-US"/>
        </w:rPr>
        <w:t xml:space="preserve"> to create supercells of supercells</w:t>
      </w:r>
      <w:r w:rsidR="00F027F3">
        <w:rPr>
          <w:kern w:val="0"/>
          <w:sz w:val="22"/>
          <w:szCs w:val="22"/>
          <w:lang w:eastAsia="en-US"/>
        </w:rPr>
        <w:t xml:space="preserve"> and (ii)</w:t>
      </w:r>
      <w:r w:rsidR="002E0658">
        <w:rPr>
          <w:kern w:val="0"/>
          <w:sz w:val="22"/>
          <w:szCs w:val="22"/>
          <w:lang w:eastAsia="en-US"/>
        </w:rPr>
        <w:t xml:space="preserve"> </w:t>
      </w:r>
      <w:r w:rsidR="002E0658" w:rsidRPr="00B206BE">
        <w:rPr>
          <w:kern w:val="0"/>
          <w:sz w:val="22"/>
          <w:szCs w:val="22"/>
          <w:lang w:eastAsia="en-US"/>
        </w:rPr>
        <w:t xml:space="preserve">by means of </w:t>
      </w:r>
      <w:r w:rsidR="002E0658">
        <w:rPr>
          <w:kern w:val="0"/>
          <w:sz w:val="22"/>
          <w:szCs w:val="22"/>
          <w:lang w:eastAsia="en-US"/>
        </w:rPr>
        <w:t xml:space="preserve">general </w:t>
      </w:r>
      <w:r w:rsidR="002E0658" w:rsidRPr="00B206BE">
        <w:rPr>
          <w:kern w:val="0"/>
          <w:sz w:val="22"/>
          <w:szCs w:val="22"/>
          <w:lang w:eastAsia="en-US"/>
        </w:rPr>
        <w:t>2D</w:t>
      </w:r>
      <w:r w:rsidR="002E0658">
        <w:rPr>
          <w:kern w:val="0"/>
          <w:sz w:val="22"/>
          <w:szCs w:val="22"/>
          <w:lang w:eastAsia="en-US"/>
        </w:rPr>
        <w:t xml:space="preserve"> integer</w:t>
      </w:r>
      <w:r w:rsidR="002E0658" w:rsidRPr="00B206BE">
        <w:rPr>
          <w:kern w:val="0"/>
          <w:sz w:val="22"/>
          <w:szCs w:val="22"/>
          <w:lang w:eastAsia="en-US"/>
        </w:rPr>
        <w:t xml:space="preserve"> Bravais </w:t>
      </w:r>
      <w:r w:rsidR="002E0658">
        <w:rPr>
          <w:kern w:val="0"/>
          <w:sz w:val="22"/>
          <w:szCs w:val="22"/>
          <w:lang w:eastAsia="en-US"/>
        </w:rPr>
        <w:t>lattices</w:t>
      </w:r>
      <w:r w:rsidR="00E45E97">
        <w:rPr>
          <w:kern w:val="0"/>
          <w:sz w:val="22"/>
          <w:szCs w:val="22"/>
          <w:lang w:eastAsia="en-US"/>
        </w:rPr>
        <w:t xml:space="preserve">. </w:t>
      </w:r>
    </w:p>
    <w:p w14:paraId="6C23A481" w14:textId="49DE0D79" w:rsidR="00F56D49" w:rsidRDefault="00B415E8" w:rsidP="00E6104C">
      <w:pPr>
        <w:widowControl/>
        <w:autoSpaceDE w:val="0"/>
        <w:autoSpaceDN w:val="0"/>
        <w:adjustRightInd w:val="0"/>
        <w:rPr>
          <w:kern w:val="0"/>
          <w:sz w:val="22"/>
          <w:szCs w:val="22"/>
          <w:lang w:eastAsia="en-US"/>
        </w:rPr>
      </w:pPr>
      <w:r>
        <w:rPr>
          <w:kern w:val="0"/>
          <w:sz w:val="22"/>
          <w:szCs w:val="22"/>
          <w:lang w:eastAsia="en-US"/>
        </w:rPr>
        <w:t>Hierarchies of supercells can be defined in the following way: s</w:t>
      </w:r>
      <w:r w:rsidR="00A90980">
        <w:rPr>
          <w:kern w:val="0"/>
          <w:sz w:val="22"/>
          <w:szCs w:val="22"/>
          <w:lang w:eastAsia="en-US"/>
        </w:rPr>
        <w:t>tarting from</w:t>
      </w:r>
      <w:r w:rsidR="00E45E97">
        <w:rPr>
          <w:kern w:val="0"/>
          <w:sz w:val="22"/>
          <w:szCs w:val="22"/>
          <w:lang w:eastAsia="en-US"/>
        </w:rPr>
        <w:t xml:space="preserve"> </w:t>
      </w:r>
      <w:r>
        <w:rPr>
          <w:kern w:val="0"/>
          <w:sz w:val="22"/>
          <w:szCs w:val="22"/>
          <w:lang w:eastAsia="en-US"/>
        </w:rPr>
        <w:t>metasurfaces</w:t>
      </w:r>
      <w:r w:rsidR="003F3C68">
        <w:rPr>
          <w:kern w:val="0"/>
          <w:sz w:val="22"/>
          <w:szCs w:val="22"/>
          <w:lang w:eastAsia="en-US"/>
        </w:rPr>
        <w:t xml:space="preserve"> based on a </w:t>
      </w:r>
      <w:r>
        <w:rPr>
          <w:kern w:val="0"/>
          <w:sz w:val="22"/>
          <w:szCs w:val="22"/>
          <w:lang w:eastAsia="en-US"/>
        </w:rPr>
        <w:t>single-unit cell</w:t>
      </w:r>
      <w:r w:rsidR="003F3C68">
        <w:rPr>
          <w:kern w:val="0"/>
          <w:sz w:val="22"/>
          <w:szCs w:val="22"/>
          <w:lang w:eastAsia="en-US"/>
        </w:rPr>
        <w:t xml:space="preserve"> </w:t>
      </w:r>
      <w:r w:rsidR="005B640E">
        <w:rPr>
          <w:kern w:val="0"/>
          <w:sz w:val="22"/>
          <w:szCs w:val="22"/>
          <w:lang w:eastAsia="en-US"/>
        </w:rPr>
        <w:t>that is repeated periodically on the plane</w:t>
      </w:r>
      <w:r w:rsidR="00272812">
        <w:rPr>
          <w:kern w:val="0"/>
          <w:sz w:val="22"/>
          <w:szCs w:val="22"/>
          <w:lang w:eastAsia="en-US"/>
        </w:rPr>
        <w:t>,</w:t>
      </w:r>
      <w:r w:rsidR="003019CC">
        <w:rPr>
          <w:kern w:val="0"/>
          <w:sz w:val="22"/>
          <w:szCs w:val="22"/>
          <w:lang w:eastAsia="en-US"/>
        </w:rPr>
        <w:t xml:space="preserve"> we define first-order supercells by joining several </w:t>
      </w:r>
      <w:r w:rsidR="004D2613">
        <w:rPr>
          <w:kern w:val="0"/>
          <w:sz w:val="22"/>
          <w:szCs w:val="22"/>
          <w:lang w:eastAsia="en-US"/>
        </w:rPr>
        <w:t xml:space="preserve">cells and then breaking the previous </w:t>
      </w:r>
      <w:r w:rsidR="00FF6594">
        <w:rPr>
          <w:kern w:val="0"/>
          <w:sz w:val="22"/>
          <w:szCs w:val="22"/>
          <w:lang w:eastAsia="en-US"/>
        </w:rPr>
        <w:t>translation</w:t>
      </w:r>
      <w:r w:rsidR="00942DE9">
        <w:rPr>
          <w:kern w:val="0"/>
          <w:sz w:val="22"/>
          <w:szCs w:val="22"/>
          <w:lang w:eastAsia="en-US"/>
        </w:rPr>
        <w:t>al</w:t>
      </w:r>
      <w:r w:rsidR="00FF6594">
        <w:rPr>
          <w:kern w:val="0"/>
          <w:sz w:val="22"/>
          <w:szCs w:val="22"/>
          <w:lang w:eastAsia="en-US"/>
        </w:rPr>
        <w:t xml:space="preserve"> </w:t>
      </w:r>
      <w:r w:rsidR="004D2613">
        <w:rPr>
          <w:kern w:val="0"/>
          <w:sz w:val="22"/>
          <w:szCs w:val="22"/>
          <w:lang w:eastAsia="en-US"/>
        </w:rPr>
        <w:t xml:space="preserve">symmetry by creating differences among the various cells </w:t>
      </w:r>
      <w:r w:rsidR="00FF6594">
        <w:rPr>
          <w:kern w:val="0"/>
          <w:sz w:val="22"/>
          <w:szCs w:val="22"/>
          <w:lang w:eastAsia="en-US"/>
        </w:rPr>
        <w:t>in the supercell.</w:t>
      </w:r>
      <w:r w:rsidR="008B5C8B">
        <w:rPr>
          <w:kern w:val="0"/>
          <w:sz w:val="22"/>
          <w:szCs w:val="22"/>
          <w:lang w:eastAsia="en-US"/>
        </w:rPr>
        <w:t xml:space="preserve"> Second order supercells, similarly, are supercells of supercells</w:t>
      </w:r>
      <w:r w:rsidR="00F56D49">
        <w:rPr>
          <w:kern w:val="0"/>
          <w:sz w:val="22"/>
          <w:szCs w:val="22"/>
          <w:lang w:eastAsia="en-US"/>
        </w:rPr>
        <w:t xml:space="preserve">, and so on for higher orders. Each time the supercell order is increased, </w:t>
      </w:r>
      <w:r w:rsidR="00F56D49" w:rsidRPr="00E124B1">
        <w:rPr>
          <w:kern w:val="0"/>
          <w:sz w:val="22"/>
          <w:szCs w:val="22"/>
          <w:lang w:eastAsia="en-US"/>
        </w:rPr>
        <w:t>new diffraction orders are obtained.</w:t>
      </w:r>
      <w:r w:rsidR="00F56D49">
        <w:rPr>
          <w:kern w:val="0"/>
          <w:sz w:val="22"/>
          <w:szCs w:val="22"/>
          <w:lang w:eastAsia="en-US"/>
        </w:rPr>
        <w:t xml:space="preserve"> By e</w:t>
      </w:r>
      <w:r w:rsidR="00F56D49" w:rsidRPr="00B206BE">
        <w:rPr>
          <w:kern w:val="0"/>
          <w:sz w:val="22"/>
          <w:szCs w:val="22"/>
          <w:lang w:eastAsia="en-US"/>
        </w:rPr>
        <w:t xml:space="preserve">ngineering the unit </w:t>
      </w:r>
      <w:proofErr w:type="gramStart"/>
      <w:r w:rsidR="00F56D49" w:rsidRPr="00B206BE">
        <w:rPr>
          <w:kern w:val="0"/>
          <w:sz w:val="22"/>
          <w:szCs w:val="22"/>
          <w:lang w:eastAsia="en-US"/>
        </w:rPr>
        <w:t>cell</w:t>
      </w:r>
      <w:r w:rsidR="00F56D49">
        <w:rPr>
          <w:kern w:val="0"/>
          <w:sz w:val="22"/>
          <w:szCs w:val="22"/>
          <w:lang w:eastAsia="en-US"/>
        </w:rPr>
        <w:t>s</w:t>
      </w:r>
      <w:proofErr w:type="gramEnd"/>
      <w:r w:rsidR="00F56D49" w:rsidRPr="00B206BE">
        <w:rPr>
          <w:kern w:val="0"/>
          <w:sz w:val="22"/>
          <w:szCs w:val="22"/>
          <w:lang w:eastAsia="en-US"/>
        </w:rPr>
        <w:t xml:space="preserve"> it</w:t>
      </w:r>
      <w:r w:rsidR="00F56D49">
        <w:rPr>
          <w:kern w:val="0"/>
          <w:sz w:val="22"/>
          <w:szCs w:val="22"/>
          <w:lang w:eastAsia="en-US"/>
        </w:rPr>
        <w:t xml:space="preserve"> is </w:t>
      </w:r>
      <w:r w:rsidR="00F56D49" w:rsidRPr="00B206BE">
        <w:rPr>
          <w:kern w:val="0"/>
          <w:sz w:val="22"/>
          <w:szCs w:val="22"/>
          <w:lang w:eastAsia="en-US"/>
        </w:rPr>
        <w:t xml:space="preserve">possible to obtain devices with different </w:t>
      </w:r>
      <w:r w:rsidR="00F56D49">
        <w:rPr>
          <w:kern w:val="0"/>
          <w:sz w:val="22"/>
          <w:szCs w:val="22"/>
          <w:lang w:eastAsia="en-US"/>
        </w:rPr>
        <w:t xml:space="preserve">functions </w:t>
      </w:r>
      <w:proofErr w:type="gramStart"/>
      <w:r w:rsidR="00F56D49">
        <w:rPr>
          <w:kern w:val="0"/>
          <w:sz w:val="22"/>
          <w:szCs w:val="22"/>
          <w:lang w:eastAsia="en-US"/>
        </w:rPr>
        <w:t>on</w:t>
      </w:r>
      <w:proofErr w:type="gramEnd"/>
      <w:r w:rsidR="00F56D49">
        <w:rPr>
          <w:kern w:val="0"/>
          <w:sz w:val="22"/>
          <w:szCs w:val="22"/>
          <w:lang w:eastAsia="en-US"/>
        </w:rPr>
        <w:t xml:space="preserve"> each order (Figure 1A-C). </w:t>
      </w:r>
      <w:r w:rsidR="00D55496">
        <w:rPr>
          <w:kern w:val="0"/>
          <w:sz w:val="22"/>
          <w:szCs w:val="22"/>
          <w:lang w:eastAsia="en-US"/>
        </w:rPr>
        <w:t xml:space="preserve">The phase and amplitude of each order depend on the </w:t>
      </w:r>
      <w:proofErr w:type="gramStart"/>
      <w:r w:rsidR="00D55496">
        <w:rPr>
          <w:kern w:val="0"/>
          <w:sz w:val="22"/>
          <w:szCs w:val="22"/>
          <w:lang w:eastAsia="en-US"/>
        </w:rPr>
        <w:t>particular asymmetry</w:t>
      </w:r>
      <w:proofErr w:type="gramEnd"/>
      <w:r w:rsidR="00D55496">
        <w:rPr>
          <w:kern w:val="0"/>
          <w:sz w:val="22"/>
          <w:szCs w:val="22"/>
          <w:lang w:eastAsia="en-US"/>
        </w:rPr>
        <w:t xml:space="preserve"> introduced when the supercell is created</w:t>
      </w:r>
      <w:r w:rsidR="004A3B50">
        <w:rPr>
          <w:kern w:val="0"/>
          <w:sz w:val="22"/>
          <w:szCs w:val="22"/>
          <w:lang w:eastAsia="en-US"/>
        </w:rPr>
        <w:t>,</w:t>
      </w:r>
      <w:r w:rsidR="005402CA">
        <w:rPr>
          <w:kern w:val="0"/>
          <w:sz w:val="22"/>
          <w:szCs w:val="22"/>
          <w:lang w:eastAsia="en-US"/>
        </w:rPr>
        <w:t xml:space="preserve"> specifically the amplitude is proportional to the perturbation parameter in the small-pertu</w:t>
      </w:r>
      <w:r w:rsidR="00A21653">
        <w:rPr>
          <w:kern w:val="0"/>
          <w:sz w:val="22"/>
          <w:szCs w:val="22"/>
          <w:lang w:eastAsia="en-US"/>
        </w:rPr>
        <w:t>rbation limit.</w:t>
      </w:r>
    </w:p>
    <w:p w14:paraId="60593D43" w14:textId="63EA5A8B" w:rsidR="00E63DB5" w:rsidRDefault="00F90856" w:rsidP="00E6104C">
      <w:pPr>
        <w:widowControl/>
        <w:autoSpaceDE w:val="0"/>
        <w:autoSpaceDN w:val="0"/>
        <w:adjustRightInd w:val="0"/>
        <w:rPr>
          <w:kern w:val="0"/>
          <w:sz w:val="22"/>
          <w:szCs w:val="22"/>
          <w:lang w:eastAsia="en-US"/>
        </w:rPr>
      </w:pPr>
      <w:bookmarkStart w:id="0" w:name="_Hlk137636648"/>
      <w:r w:rsidRPr="00F90856">
        <w:rPr>
          <w:kern w:val="0"/>
          <w:sz w:val="22"/>
          <w:szCs w:val="22"/>
          <w:lang w:eastAsia="en-US"/>
        </w:rPr>
        <w:t>In addition to considering supercells that extend horizontally or vertically</w:t>
      </w:r>
      <w:r>
        <w:rPr>
          <w:kern w:val="0"/>
          <w:sz w:val="22"/>
          <w:szCs w:val="22"/>
          <w:lang w:eastAsia="en-US"/>
        </w:rPr>
        <w:t xml:space="preserve"> on the plane</w:t>
      </w:r>
      <w:r w:rsidRPr="00F90856">
        <w:rPr>
          <w:kern w:val="0"/>
          <w:sz w:val="22"/>
          <w:szCs w:val="22"/>
          <w:lang w:eastAsia="en-US"/>
        </w:rPr>
        <w:t xml:space="preserve">, </w:t>
      </w:r>
      <w:r w:rsidR="00A21653">
        <w:rPr>
          <w:kern w:val="0"/>
          <w:sz w:val="22"/>
          <w:szCs w:val="22"/>
          <w:lang w:eastAsia="en-US"/>
        </w:rPr>
        <w:t>we consider here</w:t>
      </w:r>
      <w:r w:rsidRPr="00F90856">
        <w:rPr>
          <w:kern w:val="0"/>
          <w:sz w:val="22"/>
          <w:szCs w:val="22"/>
          <w:lang w:eastAsia="en-US"/>
        </w:rPr>
        <w:t xml:space="preserve"> supercells that extend obliquely.</w:t>
      </w:r>
      <w:r w:rsidR="00B206BE">
        <w:rPr>
          <w:kern w:val="0"/>
          <w:sz w:val="22"/>
          <w:szCs w:val="22"/>
          <w:lang w:eastAsia="en-US"/>
        </w:rPr>
        <w:t xml:space="preserve"> I</w:t>
      </w:r>
      <w:r w:rsidR="00B206BE" w:rsidRPr="00B206BE">
        <w:rPr>
          <w:kern w:val="0"/>
          <w:sz w:val="22"/>
          <w:szCs w:val="22"/>
          <w:lang w:eastAsia="en-US"/>
        </w:rPr>
        <w:t xml:space="preserve">t is possible to </w:t>
      </w:r>
      <w:r w:rsidR="00C66B68">
        <w:rPr>
          <w:kern w:val="0"/>
          <w:sz w:val="22"/>
          <w:szCs w:val="22"/>
          <w:lang w:eastAsia="en-US"/>
        </w:rPr>
        <w:t>identify</w:t>
      </w:r>
      <w:r w:rsidR="00B206BE" w:rsidRPr="00B206BE">
        <w:rPr>
          <w:kern w:val="0"/>
          <w:sz w:val="22"/>
          <w:szCs w:val="22"/>
          <w:lang w:eastAsia="en-US"/>
        </w:rPr>
        <w:t xml:space="preserve"> these supercells by means of</w:t>
      </w:r>
      <w:r w:rsidR="000459B9">
        <w:rPr>
          <w:kern w:val="0"/>
          <w:sz w:val="22"/>
          <w:szCs w:val="22"/>
          <w:lang w:eastAsia="en-US"/>
        </w:rPr>
        <w:t xml:space="preserve"> an integer</w:t>
      </w:r>
      <w:r w:rsidR="00B206BE" w:rsidRPr="00B206BE">
        <w:rPr>
          <w:kern w:val="0"/>
          <w:sz w:val="22"/>
          <w:szCs w:val="22"/>
          <w:lang w:eastAsia="en-US"/>
        </w:rPr>
        <w:t xml:space="preserve"> 2D Bravais </w:t>
      </w:r>
      <w:r w:rsidR="00C66B68">
        <w:rPr>
          <w:kern w:val="0"/>
          <w:sz w:val="22"/>
          <w:szCs w:val="22"/>
          <w:lang w:eastAsia="en-US"/>
        </w:rPr>
        <w:t>lattice</w:t>
      </w:r>
      <w:r w:rsidR="000459B9">
        <w:rPr>
          <w:kern w:val="0"/>
          <w:sz w:val="22"/>
          <w:szCs w:val="22"/>
          <w:lang w:eastAsia="en-US"/>
        </w:rPr>
        <w:t xml:space="preserve">, defined </w:t>
      </w:r>
      <w:r w:rsidR="00B9322A">
        <w:rPr>
          <w:kern w:val="0"/>
          <w:sz w:val="22"/>
          <w:szCs w:val="22"/>
          <w:lang w:eastAsia="en-US"/>
        </w:rPr>
        <w:t>by the points</w:t>
      </w:r>
      <w:r w:rsidR="000459B9">
        <w:rPr>
          <w:kern w:val="0"/>
          <w:sz w:val="22"/>
          <w:szCs w:val="22"/>
          <w:lang w:eastAsia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kern w:val="0"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hAnsi="Cambria Math"/>
                <w:kern w:val="0"/>
                <w:sz w:val="22"/>
                <w:szCs w:val="22"/>
                <w:lang w:eastAsia="en-US"/>
              </w:rPr>
              <m:t>n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kern w:val="0"/>
                    <w:sz w:val="22"/>
                    <w:szCs w:val="22"/>
                    <w:lang w:eastAsia="en-US"/>
                  </w:rPr>
                </m:ctrlPr>
              </m:accPr>
              <m:e>
                <m:r>
                  <w:rPr>
                    <w:rFonts w:ascii="Cambria Math" w:hAnsi="Cambria Math"/>
                    <w:kern w:val="0"/>
                    <w:sz w:val="22"/>
                    <w:szCs w:val="22"/>
                    <w:lang w:eastAsia="en-US"/>
                  </w:rPr>
                  <m:t>a</m:t>
                </m:r>
              </m:e>
            </m:acc>
            <m:r>
              <w:rPr>
                <w:rFonts w:ascii="Cambria Math" w:hAnsi="Cambria Math"/>
                <w:kern w:val="0"/>
                <w:sz w:val="22"/>
                <w:szCs w:val="22"/>
                <w:lang w:eastAsia="en-US"/>
              </w:rPr>
              <m:t>+m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kern w:val="0"/>
                    <w:sz w:val="22"/>
                    <w:szCs w:val="22"/>
                    <w:lang w:eastAsia="en-US"/>
                  </w:rPr>
                </m:ctrlPr>
              </m:accPr>
              <m:e>
                <m:r>
                  <w:rPr>
                    <w:rFonts w:ascii="Cambria Math" w:hAnsi="Cambria Math"/>
                    <w:kern w:val="0"/>
                    <w:sz w:val="22"/>
                    <w:szCs w:val="22"/>
                    <w:lang w:eastAsia="en-US"/>
                  </w:rPr>
                  <m:t>b</m:t>
                </m:r>
              </m:e>
            </m:acc>
          </m:e>
        </m:d>
      </m:oMath>
      <w:r w:rsidR="002C0F0C">
        <w:rPr>
          <w:kern w:val="0"/>
          <w:sz w:val="22"/>
          <w:szCs w:val="22"/>
          <w:lang w:eastAsia="en-US"/>
        </w:rPr>
        <w:t xml:space="preserve">, where </w:t>
      </w:r>
      <m:oMath>
        <m:acc>
          <m:accPr>
            <m:chr m:val="̅"/>
            <m:ctrlPr>
              <w:rPr>
                <w:rFonts w:ascii="Cambria Math" w:hAnsi="Cambria Math"/>
                <w:i/>
                <w:kern w:val="0"/>
                <w:sz w:val="22"/>
                <w:szCs w:val="22"/>
                <w:lang w:eastAsia="en-US"/>
              </w:rPr>
            </m:ctrlPr>
          </m:accPr>
          <m:e>
            <m:r>
              <w:rPr>
                <w:rFonts w:ascii="Cambria Math" w:hAnsi="Cambria Math"/>
                <w:kern w:val="0"/>
                <w:sz w:val="22"/>
                <w:szCs w:val="22"/>
                <w:lang w:eastAsia="en-US"/>
              </w:rPr>
              <m:t>a</m:t>
            </m:r>
          </m:e>
        </m:acc>
      </m:oMath>
      <w:r w:rsidR="002C0F0C">
        <w:rPr>
          <w:kern w:val="0"/>
          <w:sz w:val="22"/>
          <w:szCs w:val="22"/>
          <w:lang w:eastAsia="en-US"/>
        </w:rP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  <w:kern w:val="0"/>
                <w:sz w:val="22"/>
                <w:szCs w:val="22"/>
                <w:lang w:eastAsia="en-US"/>
              </w:rPr>
            </m:ctrlPr>
          </m:accPr>
          <m:e>
            <m:r>
              <w:rPr>
                <w:rFonts w:ascii="Cambria Math" w:hAnsi="Cambria Math"/>
                <w:kern w:val="0"/>
                <w:sz w:val="22"/>
                <w:szCs w:val="22"/>
                <w:lang w:eastAsia="en-US"/>
              </w:rPr>
              <m:t>b</m:t>
            </m:r>
          </m:e>
        </m:acc>
      </m:oMath>
      <w:r w:rsidR="002C0F0C">
        <w:rPr>
          <w:kern w:val="0"/>
          <w:sz w:val="22"/>
          <w:szCs w:val="22"/>
          <w:lang w:eastAsia="en-US"/>
        </w:rPr>
        <w:t xml:space="preserve"> are </w:t>
      </w:r>
      <w:r w:rsidR="002951F1">
        <w:rPr>
          <w:kern w:val="0"/>
          <w:sz w:val="22"/>
          <w:szCs w:val="22"/>
          <w:lang w:eastAsia="en-US"/>
        </w:rPr>
        <w:t xml:space="preserve">2D </w:t>
      </w:r>
      <w:r w:rsidR="002C0F0C">
        <w:rPr>
          <w:kern w:val="0"/>
          <w:sz w:val="22"/>
          <w:szCs w:val="22"/>
          <w:lang w:eastAsia="en-US"/>
        </w:rPr>
        <w:t>integer vectors</w:t>
      </w:r>
      <w:r w:rsidR="00496360">
        <w:rPr>
          <w:kern w:val="0"/>
          <w:sz w:val="22"/>
          <w:szCs w:val="22"/>
          <w:lang w:eastAsia="en-US"/>
        </w:rPr>
        <w:t xml:space="preserve">. We can then define the supercell matrix </w:t>
      </w:r>
      <w:r w:rsidR="00496360" w:rsidRPr="001B5468">
        <w:rPr>
          <w:i/>
          <w:iCs/>
          <w:kern w:val="0"/>
          <w:sz w:val="22"/>
          <w:szCs w:val="22"/>
          <w:lang w:eastAsia="en-US"/>
        </w:rPr>
        <w:t>L</w:t>
      </w:r>
      <w:r w:rsidR="00496360">
        <w:rPr>
          <w:kern w:val="0"/>
          <w:sz w:val="22"/>
          <w:szCs w:val="22"/>
          <w:lang w:eastAsia="en-US"/>
        </w:rPr>
        <w:t xml:space="preserve"> 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755"/>
      </w:tblGrid>
      <w:tr w:rsidR="00E0771D" w14:paraId="65E59B16" w14:textId="77777777" w:rsidTr="00C153F6">
        <w:tc>
          <w:tcPr>
            <w:tcW w:w="9209" w:type="dxa"/>
            <w:vAlign w:val="center"/>
          </w:tcPr>
          <w:p w14:paraId="50A4DB49" w14:textId="450CEDE8" w:rsidR="00E0771D" w:rsidRDefault="00B812C9" w:rsidP="00B812C9">
            <w:pPr>
              <w:widowControl/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kern w:val="0"/>
                    <w:sz w:val="22"/>
                    <w:szCs w:val="22"/>
                    <w:lang w:eastAsia="en-US"/>
                  </w:rPr>
                  <m:t>L=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kern w:val="0"/>
                        <w:sz w:val="22"/>
                        <w:szCs w:val="22"/>
                        <w:lang w:eastAsia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2"/>
                            <w:szCs w:val="22"/>
                            <w:lang w:eastAsia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kern w:val="0"/>
                                  <w:sz w:val="22"/>
                                  <w:szCs w:val="22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kern w:val="0"/>
                                  <w:sz w:val="22"/>
                                  <w:szCs w:val="22"/>
                                  <w:lang w:eastAsia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kern w:val="0"/>
                                  <w:sz w:val="22"/>
                                  <w:szCs w:val="22"/>
                                  <w:lang w:eastAsia="en-US"/>
                                </w:rPr>
                                <m:t>x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kern w:val="0"/>
                                  <w:sz w:val="22"/>
                                  <w:szCs w:val="22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kern w:val="0"/>
                                  <w:sz w:val="22"/>
                                  <w:szCs w:val="22"/>
                                  <w:lang w:eastAsia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kern w:val="0"/>
                                  <w:sz w:val="22"/>
                                  <w:szCs w:val="22"/>
                                  <w:lang w:eastAsia="en-US"/>
                                </w:rPr>
                                <m:t>x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kern w:val="0"/>
                                  <w:sz w:val="22"/>
                                  <w:szCs w:val="22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kern w:val="0"/>
                                  <w:sz w:val="22"/>
                                  <w:szCs w:val="22"/>
                                  <w:lang w:eastAsia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kern w:val="0"/>
                                  <w:sz w:val="22"/>
                                  <w:szCs w:val="22"/>
                                  <w:lang w:eastAsia="en-US"/>
                                </w:rPr>
                                <m:t>y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kern w:val="0"/>
                                  <w:sz w:val="22"/>
                                  <w:szCs w:val="22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kern w:val="0"/>
                                  <w:sz w:val="22"/>
                                  <w:szCs w:val="22"/>
                                  <w:lang w:eastAsia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kern w:val="0"/>
                                  <w:sz w:val="22"/>
                                  <w:szCs w:val="22"/>
                                  <w:lang w:eastAsia="en-US"/>
                                </w:rPr>
                                <m:t>y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kern w:val="0"/>
                    <w:sz w:val="22"/>
                    <w:szCs w:val="22"/>
                    <w:lang w:eastAsia="en-US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kern w:val="0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kern w:val="0"/>
                        <w:sz w:val="22"/>
                        <w:szCs w:val="22"/>
                        <w:lang w:eastAsia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kern w:val="0"/>
                        <w:sz w:val="22"/>
                        <w:szCs w:val="22"/>
                        <w:lang w:eastAsia="en-US"/>
                      </w:rPr>
                      <m:t>2×2</m:t>
                    </m:r>
                  </m:sup>
                </m:sSup>
              </m:oMath>
            </m:oMathPara>
          </w:p>
        </w:tc>
        <w:tc>
          <w:tcPr>
            <w:tcW w:w="755" w:type="dxa"/>
            <w:vAlign w:val="center"/>
          </w:tcPr>
          <w:p w14:paraId="5F7D52FD" w14:textId="4DB9C2ED" w:rsidR="00E0771D" w:rsidRDefault="00B812C9" w:rsidP="00E0771D">
            <w:pPr>
              <w:widowControl/>
              <w:autoSpaceDE w:val="0"/>
              <w:autoSpaceDN w:val="0"/>
              <w:adjustRightInd w:val="0"/>
              <w:jc w:val="right"/>
              <w:rPr>
                <w:kern w:val="0"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(1)</w:t>
            </w:r>
          </w:p>
        </w:tc>
      </w:tr>
    </w:tbl>
    <w:p w14:paraId="5DE75A81" w14:textId="2351DC22" w:rsidR="009827B0" w:rsidRDefault="00496360" w:rsidP="00E6104C">
      <w:pPr>
        <w:widowControl/>
        <w:autoSpaceDE w:val="0"/>
        <w:autoSpaceDN w:val="0"/>
        <w:adjustRightInd w:val="0"/>
        <w:rPr>
          <w:kern w:val="0"/>
          <w:sz w:val="22"/>
          <w:szCs w:val="22"/>
          <w:lang w:eastAsia="en-US"/>
        </w:rPr>
      </w:pPr>
      <w:r>
        <w:rPr>
          <w:kern w:val="0"/>
          <w:sz w:val="22"/>
          <w:szCs w:val="22"/>
          <w:lang w:eastAsia="en-US"/>
        </w:rPr>
        <w:t xml:space="preserve">It is straightforward to </w:t>
      </w:r>
      <w:r w:rsidR="00E47A5A">
        <w:rPr>
          <w:kern w:val="0"/>
          <w:sz w:val="22"/>
          <w:szCs w:val="22"/>
          <w:lang w:eastAsia="en-US"/>
        </w:rPr>
        <w:t xml:space="preserve">show that the number of cells in the supercells is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kern w:val="0"/>
                <w:sz w:val="22"/>
                <w:szCs w:val="22"/>
                <w:lang w:eastAsia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kern w:val="0"/>
                    <w:sz w:val="22"/>
                    <w:szCs w:val="22"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 w:val="22"/>
                    <w:szCs w:val="22"/>
                    <w:lang w:eastAsia="en-US"/>
                  </w:rPr>
                  <m:t>det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kern w:val="0"/>
                        <w:sz w:val="22"/>
                        <w:szCs w:val="2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kern w:val="0"/>
                        <w:sz w:val="22"/>
                        <w:szCs w:val="22"/>
                        <w:lang w:eastAsia="en-US"/>
                      </w:rPr>
                      <m:t>L</m:t>
                    </m:r>
                  </m:e>
                </m:d>
              </m:e>
            </m:func>
          </m:e>
        </m:d>
      </m:oMath>
      <w:r w:rsidR="00E47A5A">
        <w:rPr>
          <w:kern w:val="0"/>
          <w:sz w:val="22"/>
          <w:szCs w:val="22"/>
          <w:lang w:eastAsia="en-US"/>
        </w:rPr>
        <w:t>. In Figure 1</w:t>
      </w:r>
      <w:proofErr w:type="gramStart"/>
      <w:r w:rsidR="00E47A5A">
        <w:rPr>
          <w:kern w:val="0"/>
          <w:sz w:val="22"/>
          <w:szCs w:val="22"/>
          <w:lang w:eastAsia="en-US"/>
        </w:rPr>
        <w:t>D,E</w:t>
      </w:r>
      <w:proofErr w:type="gramEnd"/>
      <w:r w:rsidR="00E47A5A">
        <w:rPr>
          <w:kern w:val="0"/>
          <w:sz w:val="22"/>
          <w:szCs w:val="22"/>
          <w:lang w:eastAsia="en-US"/>
        </w:rPr>
        <w:t xml:space="preserve"> we show an example of such a Bravais lattice</w:t>
      </w:r>
      <w:r w:rsidR="001E7141">
        <w:rPr>
          <w:kern w:val="0"/>
          <w:sz w:val="22"/>
          <w:szCs w:val="22"/>
          <w:lang w:eastAsia="en-US"/>
        </w:rPr>
        <w:t xml:space="preserve"> (with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kern w:val="0"/>
                <w:sz w:val="22"/>
                <w:szCs w:val="22"/>
                <w:lang w:eastAsia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kern w:val="0"/>
                    <w:sz w:val="22"/>
                    <w:szCs w:val="22"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 w:val="22"/>
                    <w:szCs w:val="22"/>
                    <w:lang w:eastAsia="en-US"/>
                  </w:rPr>
                  <m:t>det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kern w:val="0"/>
                        <w:sz w:val="22"/>
                        <w:szCs w:val="2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kern w:val="0"/>
                        <w:sz w:val="22"/>
                        <w:szCs w:val="22"/>
                        <w:lang w:eastAsia="en-US"/>
                      </w:rPr>
                      <m:t>L</m:t>
                    </m:r>
                  </m:e>
                </m:d>
              </m:e>
            </m:func>
          </m:e>
        </m:d>
        <m:r>
          <w:rPr>
            <w:rFonts w:ascii="Cambria Math" w:hAnsi="Cambria Math"/>
            <w:kern w:val="0"/>
            <w:sz w:val="22"/>
            <w:szCs w:val="22"/>
            <w:lang w:eastAsia="en-US"/>
          </w:rPr>
          <m:t>=4</m:t>
        </m:r>
      </m:oMath>
      <w:r w:rsidR="001E7141">
        <w:rPr>
          <w:kern w:val="0"/>
          <w:sz w:val="22"/>
          <w:szCs w:val="22"/>
          <w:lang w:eastAsia="en-US"/>
        </w:rPr>
        <w:t>)</w:t>
      </w:r>
      <w:r w:rsidR="00E47A5A">
        <w:rPr>
          <w:kern w:val="0"/>
          <w:sz w:val="22"/>
          <w:szCs w:val="22"/>
          <w:lang w:eastAsia="en-US"/>
        </w:rPr>
        <w:t xml:space="preserve">, and we identify the </w:t>
      </w:r>
      <w:r w:rsidR="001E7141">
        <w:rPr>
          <w:kern w:val="0"/>
          <w:sz w:val="22"/>
          <w:szCs w:val="22"/>
          <w:lang w:eastAsia="en-US"/>
        </w:rPr>
        <w:t xml:space="preserve">associated </w:t>
      </w:r>
      <w:r w:rsidR="00E47A5A">
        <w:rPr>
          <w:kern w:val="0"/>
          <w:sz w:val="22"/>
          <w:szCs w:val="22"/>
          <w:lang w:eastAsia="en-US"/>
        </w:rPr>
        <w:t>supercell</w:t>
      </w:r>
      <w:r w:rsidR="00C12608">
        <w:rPr>
          <w:kern w:val="0"/>
          <w:sz w:val="22"/>
          <w:szCs w:val="22"/>
          <w:lang w:eastAsia="en-US"/>
        </w:rPr>
        <w:t xml:space="preserve"> as a </w:t>
      </w:r>
      <w:r w:rsidR="00E6104C">
        <w:rPr>
          <w:kern w:val="0"/>
          <w:sz w:val="22"/>
          <w:szCs w:val="22"/>
          <w:lang w:eastAsia="en-US"/>
        </w:rPr>
        <w:t>“</w:t>
      </w:r>
      <w:r w:rsidR="00C12608">
        <w:rPr>
          <w:kern w:val="0"/>
          <w:sz w:val="22"/>
          <w:szCs w:val="22"/>
          <w:lang w:eastAsia="en-US"/>
        </w:rPr>
        <w:t>Tetris-like</w:t>
      </w:r>
      <w:r w:rsidR="00E6104C">
        <w:rPr>
          <w:kern w:val="0"/>
          <w:sz w:val="22"/>
          <w:szCs w:val="22"/>
          <w:lang w:eastAsia="en-US"/>
        </w:rPr>
        <w:t>”</w:t>
      </w:r>
      <w:r w:rsidR="00C12608">
        <w:rPr>
          <w:kern w:val="0"/>
          <w:sz w:val="22"/>
          <w:szCs w:val="22"/>
          <w:lang w:eastAsia="en-US"/>
        </w:rPr>
        <w:t xml:space="preserve"> tile which fills the entire plane.</w:t>
      </w:r>
      <w:r w:rsidR="00713061">
        <w:rPr>
          <w:kern w:val="0"/>
          <w:sz w:val="22"/>
          <w:szCs w:val="22"/>
          <w:lang w:eastAsia="en-US"/>
        </w:rPr>
        <w:t xml:space="preserve"> The number of orders is also increased by a factor of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kern w:val="0"/>
                <w:sz w:val="22"/>
                <w:szCs w:val="22"/>
                <w:lang w:eastAsia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kern w:val="0"/>
                    <w:sz w:val="22"/>
                    <w:szCs w:val="22"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 w:val="22"/>
                    <w:szCs w:val="22"/>
                    <w:lang w:eastAsia="en-US"/>
                  </w:rPr>
                  <m:t>det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kern w:val="0"/>
                        <w:sz w:val="22"/>
                        <w:szCs w:val="2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kern w:val="0"/>
                        <w:sz w:val="22"/>
                        <w:szCs w:val="22"/>
                        <w:lang w:eastAsia="en-US"/>
                      </w:rPr>
                      <m:t>L</m:t>
                    </m:r>
                  </m:e>
                </m:d>
              </m:e>
            </m:func>
          </m:e>
        </m:d>
      </m:oMath>
      <w:r w:rsidR="00713061">
        <w:rPr>
          <w:kern w:val="0"/>
          <w:sz w:val="22"/>
          <w:szCs w:val="22"/>
          <w:lang w:eastAsia="en-US"/>
        </w:rPr>
        <w:t>. Specifically, the diffraction</w:t>
      </w:r>
      <w:r w:rsidR="00D35194">
        <w:rPr>
          <w:kern w:val="0"/>
          <w:sz w:val="22"/>
          <w:szCs w:val="22"/>
          <w:lang w:eastAsia="en-US"/>
        </w:rPr>
        <w:t xml:space="preserve"> orders</w:t>
      </w:r>
      <w:r w:rsidR="00713061">
        <w:rPr>
          <w:kern w:val="0"/>
          <w:sz w:val="22"/>
          <w:szCs w:val="22"/>
          <w:lang w:eastAsia="en-US"/>
        </w:rPr>
        <w:t xml:space="preserve"> </w:t>
      </w:r>
      <w:r w:rsidR="000B58A9">
        <w:rPr>
          <w:kern w:val="0"/>
          <w:sz w:val="22"/>
          <w:szCs w:val="22"/>
          <w:lang w:eastAsia="en-US"/>
        </w:rPr>
        <w:t xml:space="preserve">for a </w:t>
      </w:r>
      <w:proofErr w:type="spellStart"/>
      <w:r w:rsidR="000B58A9">
        <w:rPr>
          <w:kern w:val="0"/>
          <w:sz w:val="22"/>
          <w:szCs w:val="22"/>
          <w:lang w:eastAsia="en-US"/>
        </w:rPr>
        <w:t>metagrating</w:t>
      </w:r>
      <w:proofErr w:type="spellEnd"/>
      <w:r w:rsidR="000B58A9">
        <w:rPr>
          <w:kern w:val="0"/>
          <w:sz w:val="22"/>
          <w:szCs w:val="22"/>
          <w:lang w:eastAsia="en-US"/>
        </w:rPr>
        <w:t xml:space="preserve"> with periodicity of P are</w:t>
      </w:r>
      <w:r w:rsidR="00D35194">
        <w:rPr>
          <w:kern w:val="0"/>
          <w:sz w:val="22"/>
          <w:szCs w:val="22"/>
          <w:lang w:eastAsia="en-US"/>
        </w:rPr>
        <w:t xml:space="preserve"> given by</w:t>
      </w:r>
      <w:r w:rsidR="000B58A9">
        <w:rPr>
          <w:kern w:val="0"/>
          <w:sz w:val="22"/>
          <w:szCs w:val="22"/>
          <w:lang w:eastAsia="en-US"/>
        </w:rPr>
        <w:t>:</w:t>
      </w:r>
      <w:r w:rsidR="00D17610">
        <w:rPr>
          <w:kern w:val="0"/>
          <w:sz w:val="22"/>
          <w:szCs w:val="22"/>
          <w:lang w:eastAsia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755"/>
      </w:tblGrid>
      <w:tr w:rsidR="009827B0" w14:paraId="77869911" w14:textId="77777777" w:rsidTr="00C153F6">
        <w:tc>
          <w:tcPr>
            <w:tcW w:w="9209" w:type="dxa"/>
            <w:vAlign w:val="center"/>
          </w:tcPr>
          <w:bookmarkStart w:id="1" w:name="_Hlk137636747"/>
          <w:bookmarkEnd w:id="0"/>
          <w:p w14:paraId="48C16AE4" w14:textId="0430F77E" w:rsidR="009827B0" w:rsidRDefault="00000000" w:rsidP="000F20BD">
            <w:pPr>
              <w:widowControl/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eastAsia="en-US"/>
              </w:rPr>
            </w:pPr>
            <m:oMathPara>
              <m:oMath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i/>
                        <w:kern w:val="0"/>
                        <w:sz w:val="22"/>
                        <w:szCs w:val="22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kern w:val="0"/>
                        <w:sz w:val="22"/>
                        <w:szCs w:val="22"/>
                        <w:lang w:eastAsia="en-US"/>
                      </w:rPr>
                      <m:t>m,n</m:t>
                    </m:r>
                  </m:sub>
                  <m:sup/>
                  <m:e>
                    <m:r>
                      <w:rPr>
                        <w:rFonts w:ascii="Cambria Math" w:hAnsi="Cambria Math"/>
                        <w:kern w:val="0"/>
                        <w:sz w:val="22"/>
                        <w:szCs w:val="22"/>
                        <w:lang w:eastAsia="en-US"/>
                      </w:rPr>
                      <m:t>δ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2"/>
                            <w:szCs w:val="22"/>
                            <w:lang w:eastAsia="en-US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m:t>k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kern w:val="0"/>
                            <w:sz w:val="22"/>
                            <w:szCs w:val="22"/>
                            <w:lang w:eastAsia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m:t>P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2"/>
                                    <w:szCs w:val="22"/>
                                    <w:lang w:eastAsia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  <m:t>m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  <m:t>n</m:t>
                                  </m:r>
                                </m:e>
                              </m:mr>
                            </m:m>
                          </m:e>
                        </m:d>
                      </m:e>
                    </m:d>
                  </m:e>
                </m:nary>
              </m:oMath>
            </m:oMathPara>
          </w:p>
        </w:tc>
        <w:tc>
          <w:tcPr>
            <w:tcW w:w="755" w:type="dxa"/>
            <w:vAlign w:val="center"/>
          </w:tcPr>
          <w:p w14:paraId="3F2E8A90" w14:textId="051DBD37" w:rsidR="009827B0" w:rsidRDefault="009827B0" w:rsidP="000F20BD">
            <w:pPr>
              <w:widowControl/>
              <w:autoSpaceDE w:val="0"/>
              <w:autoSpaceDN w:val="0"/>
              <w:adjustRightInd w:val="0"/>
              <w:jc w:val="right"/>
              <w:rPr>
                <w:kern w:val="0"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(</w:t>
            </w:r>
            <w:r w:rsidR="00ED608C">
              <w:rPr>
                <w:kern w:val="0"/>
                <w:sz w:val="22"/>
                <w:szCs w:val="22"/>
                <w:lang w:eastAsia="en-US"/>
              </w:rPr>
              <w:t>2</w:t>
            </w:r>
            <w:r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</w:tr>
    </w:tbl>
    <w:p w14:paraId="6FD490BC" w14:textId="5181A73E" w:rsidR="009827B0" w:rsidRDefault="000B58A9" w:rsidP="006A5C8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2"/>
          <w:lang w:eastAsia="en-US"/>
        </w:rPr>
      </w:pPr>
      <w:r>
        <w:rPr>
          <w:kern w:val="0"/>
          <w:sz w:val="22"/>
          <w:szCs w:val="22"/>
          <w:lang w:eastAsia="en-US"/>
        </w:rPr>
        <w:t xml:space="preserve">while when the supercell is defined, the new </w:t>
      </w:r>
      <w:r w:rsidR="008D6A28">
        <w:rPr>
          <w:kern w:val="0"/>
          <w:sz w:val="22"/>
          <w:szCs w:val="22"/>
          <w:lang w:eastAsia="en-US"/>
        </w:rPr>
        <w:t>diffraction orders</w:t>
      </w:r>
      <w:r w:rsidR="00D35194">
        <w:rPr>
          <w:kern w:val="0"/>
          <w:sz w:val="22"/>
          <w:szCs w:val="22"/>
          <w:lang w:eastAsia="en-US"/>
        </w:rPr>
        <w:t xml:space="preserve"> (more numerous)</w:t>
      </w:r>
      <w:r w:rsidR="008D6A28">
        <w:rPr>
          <w:kern w:val="0"/>
          <w:sz w:val="22"/>
          <w:szCs w:val="22"/>
          <w:lang w:eastAsia="en-US"/>
        </w:rPr>
        <w:t xml:space="preserve"> are given </w:t>
      </w:r>
      <w:proofErr w:type="gramStart"/>
      <w:r w:rsidR="008D6A28">
        <w:rPr>
          <w:kern w:val="0"/>
          <w:sz w:val="22"/>
          <w:szCs w:val="22"/>
          <w:lang w:eastAsia="en-US"/>
        </w:rPr>
        <w:t>by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755"/>
      </w:tblGrid>
      <w:tr w:rsidR="00ED608C" w14:paraId="2FC51177" w14:textId="77777777" w:rsidTr="00C153F6">
        <w:tc>
          <w:tcPr>
            <w:tcW w:w="9209" w:type="dxa"/>
            <w:vAlign w:val="center"/>
          </w:tcPr>
          <w:p w14:paraId="77F9906D" w14:textId="7E4107F9" w:rsidR="00ED608C" w:rsidRDefault="00000000" w:rsidP="000F20BD">
            <w:pPr>
              <w:widowControl/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  <w:lang w:eastAsia="en-US"/>
              </w:rPr>
            </w:pPr>
            <m:oMathPara>
              <m:oMath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i/>
                        <w:kern w:val="0"/>
                        <w:sz w:val="22"/>
                        <w:szCs w:val="22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kern w:val="0"/>
                        <w:sz w:val="22"/>
                        <w:szCs w:val="22"/>
                        <w:lang w:eastAsia="en-US"/>
                      </w:rPr>
                      <m:t>m,n</m:t>
                    </m:r>
                  </m:sub>
                  <m:sup/>
                  <m:e>
                    <m:r>
                      <w:rPr>
                        <w:rFonts w:ascii="Cambria Math" w:hAnsi="Cambria Math"/>
                        <w:kern w:val="0"/>
                        <w:sz w:val="22"/>
                        <w:szCs w:val="22"/>
                        <w:lang w:eastAsia="en-US"/>
                      </w:rPr>
                      <m:t>δ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kern w:val="0"/>
                            <w:sz w:val="22"/>
                            <w:szCs w:val="22"/>
                            <w:lang w:eastAsia="en-US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m:t>k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kern w:val="0"/>
                            <w:sz w:val="22"/>
                            <w:szCs w:val="22"/>
                            <w:lang w:eastAsia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m:t>P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m:t>-1,H</m:t>
                            </m:r>
                          </m:sup>
                        </m:sSup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 w:val="22"/>
                                    <w:szCs w:val="22"/>
                                    <w:lang w:eastAsia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  <m:t>m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kern w:val="0"/>
                                      <w:sz w:val="22"/>
                                      <w:szCs w:val="22"/>
                                      <w:lang w:eastAsia="en-US"/>
                                    </w:rPr>
                                    <m:t>n</m:t>
                                  </m:r>
                                </m:e>
                              </m:mr>
                            </m:m>
                          </m:e>
                        </m:d>
                      </m:e>
                    </m:d>
                  </m:e>
                </m:nary>
              </m:oMath>
            </m:oMathPara>
          </w:p>
        </w:tc>
        <w:tc>
          <w:tcPr>
            <w:tcW w:w="755" w:type="dxa"/>
            <w:vAlign w:val="center"/>
          </w:tcPr>
          <w:p w14:paraId="3C2698EA" w14:textId="1F1E49DF" w:rsidR="00ED608C" w:rsidRDefault="00ED608C" w:rsidP="000F20BD">
            <w:pPr>
              <w:widowControl/>
              <w:autoSpaceDE w:val="0"/>
              <w:autoSpaceDN w:val="0"/>
              <w:adjustRightInd w:val="0"/>
              <w:jc w:val="right"/>
              <w:rPr>
                <w:kern w:val="0"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(3)</w:t>
            </w:r>
          </w:p>
        </w:tc>
      </w:tr>
    </w:tbl>
    <w:p w14:paraId="108FCEB4" w14:textId="77B572C1" w:rsidR="00ED608C" w:rsidRDefault="008D6A28" w:rsidP="006A5C8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2"/>
          <w:lang w:eastAsia="en-US"/>
        </w:rPr>
      </w:pPr>
      <w:r>
        <w:rPr>
          <w:kern w:val="0"/>
          <w:sz w:val="22"/>
          <w:szCs w:val="22"/>
          <w:lang w:eastAsia="en-US"/>
        </w:rPr>
        <w:t>In th</w:t>
      </w:r>
      <w:r w:rsidR="000945E3">
        <w:rPr>
          <w:kern w:val="0"/>
          <w:sz w:val="22"/>
          <w:szCs w:val="22"/>
          <w:lang w:eastAsia="en-US"/>
        </w:rPr>
        <w:t>is poster</w:t>
      </w:r>
      <w:r>
        <w:rPr>
          <w:kern w:val="0"/>
          <w:sz w:val="22"/>
          <w:szCs w:val="22"/>
          <w:lang w:eastAsia="en-US"/>
        </w:rPr>
        <w:t xml:space="preserve"> presentation</w:t>
      </w:r>
      <w:r w:rsidR="000945E3">
        <w:rPr>
          <w:kern w:val="0"/>
          <w:sz w:val="22"/>
          <w:szCs w:val="22"/>
          <w:lang w:eastAsia="en-US"/>
        </w:rPr>
        <w:t>,</w:t>
      </w:r>
      <w:r>
        <w:rPr>
          <w:kern w:val="0"/>
          <w:sz w:val="22"/>
          <w:szCs w:val="22"/>
          <w:lang w:eastAsia="en-US"/>
        </w:rPr>
        <w:t xml:space="preserve"> we will show concrete examples of devices based on these two </w:t>
      </w:r>
      <w:r w:rsidR="00C153F6">
        <w:rPr>
          <w:kern w:val="0"/>
          <w:sz w:val="22"/>
          <w:szCs w:val="22"/>
          <w:lang w:eastAsia="en-US"/>
        </w:rPr>
        <w:t>concepts.</w:t>
      </w:r>
    </w:p>
    <w:bookmarkEnd w:id="1"/>
    <w:p w14:paraId="36EDE6DE" w14:textId="6269A626" w:rsidR="00863E5E" w:rsidRDefault="00863E5E" w:rsidP="00F350CA">
      <w:pPr>
        <w:widowControl/>
        <w:autoSpaceDE w:val="0"/>
        <w:autoSpaceDN w:val="0"/>
        <w:adjustRightInd w:val="0"/>
        <w:jc w:val="center"/>
        <w:rPr>
          <w:noProof/>
          <w:kern w:val="0"/>
          <w:sz w:val="22"/>
          <w:szCs w:val="22"/>
          <w:lang w:eastAsia="en-US"/>
        </w:rPr>
      </w:pPr>
    </w:p>
    <w:p w14:paraId="59E85A5C" w14:textId="546F727A" w:rsidR="000945E3" w:rsidRDefault="000945E3" w:rsidP="000945E3">
      <w:pPr>
        <w:widowControl/>
        <w:autoSpaceDE w:val="0"/>
        <w:autoSpaceDN w:val="0"/>
        <w:adjustRightInd w:val="0"/>
        <w:jc w:val="center"/>
        <w:rPr>
          <w:noProof/>
          <w:kern w:val="0"/>
          <w:sz w:val="22"/>
          <w:szCs w:val="22"/>
          <w:lang w:eastAsia="en-US"/>
        </w:rPr>
      </w:pPr>
      <w:r>
        <w:rPr>
          <w:noProof/>
          <w:kern w:val="0"/>
          <w:sz w:val="22"/>
          <w:szCs w:val="22"/>
          <w:lang w:eastAsia="en-US"/>
        </w:rPr>
        <w:drawing>
          <wp:inline distT="0" distB="0" distL="0" distR="0" wp14:anchorId="1ABD2F43" wp14:editId="08712437">
            <wp:extent cx="6392759" cy="3596640"/>
            <wp:effectExtent l="0" t="0" r="8255" b="3810"/>
            <wp:docPr id="479369621" name="Picture 1" descr="A picture containing text, diagram, screensho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369621" name="Picture 1" descr="A picture containing text, diagram, screenshot, line&#10;&#10;Description automatically generated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993" cy="360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8DB7C" w14:textId="77777777" w:rsidR="000945E3" w:rsidRDefault="000945E3" w:rsidP="000945E3">
      <w:pPr>
        <w:widowControl/>
        <w:autoSpaceDE w:val="0"/>
        <w:autoSpaceDN w:val="0"/>
        <w:adjustRightInd w:val="0"/>
        <w:rPr>
          <w:kern w:val="0"/>
          <w:sz w:val="22"/>
          <w:szCs w:val="22"/>
          <w:lang w:eastAsia="en-US"/>
        </w:rPr>
      </w:pPr>
    </w:p>
    <w:p w14:paraId="38E3A14A" w14:textId="04CC2E36" w:rsidR="00F350CA" w:rsidRPr="00F350CA" w:rsidRDefault="00F350CA" w:rsidP="00E6104C">
      <w:pPr>
        <w:widowControl/>
        <w:autoSpaceDE w:val="0"/>
        <w:autoSpaceDN w:val="0"/>
        <w:adjustRightInd w:val="0"/>
        <w:rPr>
          <w:kern w:val="0"/>
          <w:sz w:val="22"/>
          <w:szCs w:val="22"/>
          <w:lang w:eastAsia="en-US"/>
        </w:rPr>
      </w:pPr>
      <w:bookmarkStart w:id="2" w:name="_Hlk137636882"/>
      <w:r w:rsidRPr="00F350CA">
        <w:rPr>
          <w:b/>
          <w:bCs/>
          <w:kern w:val="0"/>
          <w:sz w:val="22"/>
          <w:szCs w:val="22"/>
          <w:lang w:eastAsia="en-US"/>
        </w:rPr>
        <w:t>Figure 1: Generalized supercell metasurface concepts.</w:t>
      </w:r>
      <w:r>
        <w:rPr>
          <w:b/>
          <w:bCs/>
          <w:kern w:val="0"/>
          <w:sz w:val="22"/>
          <w:szCs w:val="22"/>
          <w:lang w:eastAsia="en-US"/>
        </w:rPr>
        <w:t xml:space="preserve"> </w:t>
      </w:r>
      <w:r w:rsidRPr="00F350CA">
        <w:rPr>
          <w:b/>
          <w:bCs/>
          <w:kern w:val="0"/>
          <w:sz w:val="22"/>
          <w:szCs w:val="22"/>
          <w:lang w:eastAsia="en-US"/>
        </w:rPr>
        <w:t>A-C</w:t>
      </w:r>
      <w:r>
        <w:rPr>
          <w:kern w:val="0"/>
          <w:sz w:val="22"/>
          <w:szCs w:val="22"/>
          <w:lang w:eastAsia="en-US"/>
        </w:rPr>
        <w:t xml:space="preserve">: </w:t>
      </w:r>
      <w:proofErr w:type="spellStart"/>
      <w:r w:rsidR="00D2690A">
        <w:rPr>
          <w:kern w:val="0"/>
          <w:sz w:val="22"/>
          <w:szCs w:val="22"/>
          <w:lang w:eastAsia="en-US"/>
        </w:rPr>
        <w:t>Metagratings</w:t>
      </w:r>
      <w:proofErr w:type="spellEnd"/>
      <w:r w:rsidR="00D2690A">
        <w:rPr>
          <w:kern w:val="0"/>
          <w:sz w:val="22"/>
          <w:szCs w:val="22"/>
          <w:lang w:eastAsia="en-US"/>
        </w:rPr>
        <w:t xml:space="preserve"> using s</w:t>
      </w:r>
      <w:r>
        <w:rPr>
          <w:kern w:val="0"/>
          <w:sz w:val="22"/>
          <w:szCs w:val="22"/>
          <w:lang w:eastAsia="en-US"/>
        </w:rPr>
        <w:t>upercells of increasing hierarchy. 0</w:t>
      </w:r>
      <w:r w:rsidRPr="00F350CA">
        <w:rPr>
          <w:kern w:val="0"/>
          <w:sz w:val="22"/>
          <w:szCs w:val="22"/>
          <w:vertAlign w:val="superscript"/>
          <w:lang w:eastAsia="en-US"/>
        </w:rPr>
        <w:t>th</w:t>
      </w:r>
      <w:r>
        <w:rPr>
          <w:kern w:val="0"/>
          <w:sz w:val="22"/>
          <w:szCs w:val="22"/>
          <w:lang w:eastAsia="en-US"/>
        </w:rPr>
        <w:t xml:space="preserve"> order supercells are just the unit cells of the metasurface, 1</w:t>
      </w:r>
      <w:r w:rsidRPr="00F350CA">
        <w:rPr>
          <w:kern w:val="0"/>
          <w:sz w:val="22"/>
          <w:szCs w:val="22"/>
          <w:vertAlign w:val="superscript"/>
          <w:lang w:eastAsia="en-US"/>
        </w:rPr>
        <w:t>st</w:t>
      </w:r>
      <w:r>
        <w:rPr>
          <w:kern w:val="0"/>
          <w:sz w:val="22"/>
          <w:szCs w:val="22"/>
          <w:lang w:eastAsia="en-US"/>
        </w:rPr>
        <w:t xml:space="preserve"> order are creating joining 0</w:t>
      </w:r>
      <w:r w:rsidRPr="00F350CA">
        <w:rPr>
          <w:kern w:val="0"/>
          <w:sz w:val="22"/>
          <w:szCs w:val="22"/>
          <w:vertAlign w:val="superscript"/>
          <w:lang w:eastAsia="en-US"/>
        </w:rPr>
        <w:t>th</w:t>
      </w:r>
      <w:r>
        <w:rPr>
          <w:kern w:val="0"/>
          <w:sz w:val="22"/>
          <w:szCs w:val="22"/>
          <w:lang w:eastAsia="en-US"/>
        </w:rPr>
        <w:t xml:space="preserve"> cells and so on. </w:t>
      </w:r>
      <w:r w:rsidR="003F1723">
        <w:rPr>
          <w:kern w:val="0"/>
          <w:sz w:val="22"/>
          <w:szCs w:val="22"/>
          <w:lang w:eastAsia="en-US"/>
        </w:rPr>
        <w:t xml:space="preserve">Increasing hierarchies generate an increased number of diffraction orders. </w:t>
      </w:r>
      <w:r w:rsidRPr="00F350CA">
        <w:rPr>
          <w:b/>
          <w:bCs/>
          <w:kern w:val="0"/>
          <w:sz w:val="22"/>
          <w:szCs w:val="22"/>
          <w:lang w:eastAsia="en-US"/>
        </w:rPr>
        <w:t>D</w:t>
      </w:r>
      <w:r>
        <w:rPr>
          <w:kern w:val="0"/>
          <w:sz w:val="22"/>
          <w:szCs w:val="22"/>
          <w:lang w:eastAsia="en-US"/>
        </w:rPr>
        <w:t xml:space="preserve">: An example of supercells based on a general integer Bravais lattice. </w:t>
      </w:r>
      <w:r w:rsidRPr="00F350CA">
        <w:rPr>
          <w:b/>
          <w:bCs/>
          <w:kern w:val="0"/>
          <w:sz w:val="22"/>
          <w:szCs w:val="22"/>
          <w:lang w:eastAsia="en-US"/>
        </w:rPr>
        <w:t>E</w:t>
      </w:r>
      <w:r>
        <w:rPr>
          <w:kern w:val="0"/>
          <w:sz w:val="22"/>
          <w:szCs w:val="22"/>
          <w:lang w:eastAsia="en-US"/>
        </w:rPr>
        <w:t>: Example of optical elements in a Bravais supercell.</w:t>
      </w:r>
    </w:p>
    <w:p w14:paraId="5FBE9196" w14:textId="77777777" w:rsidR="00863E5E" w:rsidRDefault="00863E5E" w:rsidP="006A5C86">
      <w:pPr>
        <w:widowControl/>
        <w:autoSpaceDE w:val="0"/>
        <w:autoSpaceDN w:val="0"/>
        <w:adjustRightInd w:val="0"/>
        <w:jc w:val="left"/>
        <w:rPr>
          <w:kern w:val="0"/>
          <w:sz w:val="22"/>
          <w:szCs w:val="22"/>
          <w:lang w:eastAsia="en-US"/>
        </w:rPr>
      </w:pPr>
    </w:p>
    <w:p w14:paraId="2CE41783" w14:textId="77777777" w:rsidR="00863E5E" w:rsidRPr="000945E3" w:rsidRDefault="00863E5E" w:rsidP="00E6104C">
      <w:pPr>
        <w:widowControl/>
        <w:autoSpaceDE w:val="0"/>
        <w:autoSpaceDN w:val="0"/>
        <w:adjustRightInd w:val="0"/>
        <w:rPr>
          <w:i/>
          <w:iCs/>
          <w:kern w:val="0"/>
          <w:sz w:val="22"/>
          <w:szCs w:val="22"/>
          <w:lang w:eastAsia="en-US"/>
        </w:rPr>
      </w:pPr>
      <w:r w:rsidRPr="000945E3">
        <w:rPr>
          <w:i/>
          <w:iCs/>
          <w:sz w:val="22"/>
          <w:szCs w:val="22"/>
        </w:rPr>
        <w:t xml:space="preserve">This project has received funding from the European Research Council (ERC) under the European Union’s Horizon 2020 research and innovation </w:t>
      </w:r>
      <w:proofErr w:type="spellStart"/>
      <w:r w:rsidRPr="000945E3">
        <w:rPr>
          <w:i/>
          <w:iCs/>
          <w:sz w:val="22"/>
          <w:szCs w:val="22"/>
        </w:rPr>
        <w:t>programme</w:t>
      </w:r>
      <w:proofErr w:type="spellEnd"/>
      <w:r w:rsidRPr="000945E3">
        <w:rPr>
          <w:i/>
          <w:iCs/>
          <w:sz w:val="22"/>
          <w:szCs w:val="22"/>
        </w:rPr>
        <w:t xml:space="preserve"> (Grant agreement No. 948250).</w:t>
      </w:r>
    </w:p>
    <w:bookmarkEnd w:id="2"/>
    <w:p w14:paraId="4566C545" w14:textId="77777777" w:rsidR="005D12C2" w:rsidRPr="00E366D6" w:rsidRDefault="005D12C2" w:rsidP="00863E5E">
      <w:pPr>
        <w:pStyle w:val="BodyText"/>
      </w:pPr>
    </w:p>
    <w:p w14:paraId="12AAC940" w14:textId="77777777" w:rsidR="005D12C2" w:rsidRPr="00E366D6" w:rsidRDefault="00C77594">
      <w:pPr>
        <w:pStyle w:val="BodyText"/>
        <w:rPr>
          <w:b/>
          <w:bCs/>
        </w:rPr>
      </w:pPr>
      <w:bookmarkStart w:id="3" w:name="_Hlk137636960"/>
      <w:r w:rsidRPr="00E366D6">
        <w:rPr>
          <w:b/>
          <w:bCs/>
        </w:rPr>
        <w:t>References</w:t>
      </w:r>
    </w:p>
    <w:p w14:paraId="04C93301" w14:textId="77777777" w:rsidR="00573FFE" w:rsidRPr="00A90C2D" w:rsidRDefault="00573FFE" w:rsidP="00573FFE">
      <w:pPr>
        <w:numPr>
          <w:ilvl w:val="0"/>
          <w:numId w:val="2"/>
        </w:numPr>
        <w:autoSpaceDE w:val="0"/>
        <w:autoSpaceDN w:val="0"/>
        <w:adjustRightInd w:val="0"/>
        <w:rPr>
          <w:rFonts w:ascii="cmr10" w:hAnsi="cmr10"/>
          <w:kern w:val="0"/>
          <w:sz w:val="20"/>
          <w:szCs w:val="20"/>
        </w:rPr>
      </w:pPr>
      <w:proofErr w:type="spellStart"/>
      <w:r w:rsidRPr="00A90C2D">
        <w:rPr>
          <w:rFonts w:ascii="Arial" w:hAnsi="Arial" w:cs="Arial"/>
          <w:color w:val="222222"/>
          <w:sz w:val="20"/>
          <w:szCs w:val="20"/>
          <w:shd w:val="clear" w:color="auto" w:fill="FFFFFF"/>
        </w:rPr>
        <w:t>Khorasaninejad</w:t>
      </w:r>
      <w:proofErr w:type="spellEnd"/>
      <w:r w:rsidRPr="00A90C2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Mohammadreza, Wei Ting Chen, Robert C. Devlin, </w:t>
      </w:r>
      <w:proofErr w:type="spellStart"/>
      <w:r w:rsidRPr="00A90C2D">
        <w:rPr>
          <w:rFonts w:ascii="Arial" w:hAnsi="Arial" w:cs="Arial"/>
          <w:color w:val="222222"/>
          <w:sz w:val="20"/>
          <w:szCs w:val="20"/>
          <w:shd w:val="clear" w:color="auto" w:fill="FFFFFF"/>
        </w:rPr>
        <w:t>Jaewon</w:t>
      </w:r>
      <w:proofErr w:type="spellEnd"/>
      <w:r w:rsidRPr="00A90C2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Oh, Alexander Y. Zhu, and Federico Capasso. "</w:t>
      </w:r>
      <w:proofErr w:type="spellStart"/>
      <w:r w:rsidRPr="00A90C2D">
        <w:rPr>
          <w:rFonts w:ascii="Arial" w:hAnsi="Arial" w:cs="Arial"/>
          <w:color w:val="222222"/>
          <w:sz w:val="20"/>
          <w:szCs w:val="20"/>
          <w:shd w:val="clear" w:color="auto" w:fill="FFFFFF"/>
        </w:rPr>
        <w:t>Metalenses</w:t>
      </w:r>
      <w:proofErr w:type="spellEnd"/>
      <w:r w:rsidRPr="00A90C2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at visible wavelengths: Diffraction-limited focusing and subwavelength resolution imaging." </w:t>
      </w:r>
      <w:r w:rsidRPr="00A90C2D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Science</w:t>
      </w:r>
      <w:r w:rsidRPr="00A90C2D">
        <w:rPr>
          <w:rFonts w:ascii="Arial" w:hAnsi="Arial" w:cs="Arial"/>
          <w:color w:val="222222"/>
          <w:sz w:val="20"/>
          <w:szCs w:val="20"/>
          <w:shd w:val="clear" w:color="auto" w:fill="FFFFFF"/>
        </w:rPr>
        <w:t> 352, no. 6290 (2016): 1190-1194.</w:t>
      </w:r>
    </w:p>
    <w:p w14:paraId="75219C9C" w14:textId="10FE3F25" w:rsidR="00573FFE" w:rsidRPr="00A90C2D" w:rsidRDefault="00573FFE" w:rsidP="00573FFE">
      <w:pPr>
        <w:numPr>
          <w:ilvl w:val="0"/>
          <w:numId w:val="2"/>
        </w:numPr>
        <w:autoSpaceDE w:val="0"/>
        <w:autoSpaceDN w:val="0"/>
        <w:adjustRightInd w:val="0"/>
        <w:rPr>
          <w:rFonts w:ascii="cmr10" w:hAnsi="cmr10"/>
          <w:kern w:val="0"/>
          <w:sz w:val="20"/>
          <w:szCs w:val="20"/>
        </w:rPr>
      </w:pPr>
      <w:r w:rsidRPr="00A90C2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Devlin, Robert C., Mohammadreza </w:t>
      </w:r>
      <w:proofErr w:type="spellStart"/>
      <w:r w:rsidRPr="00A90C2D">
        <w:rPr>
          <w:rFonts w:ascii="Arial" w:hAnsi="Arial" w:cs="Arial"/>
          <w:color w:val="222222"/>
          <w:sz w:val="20"/>
          <w:szCs w:val="20"/>
          <w:shd w:val="clear" w:color="auto" w:fill="FFFFFF"/>
        </w:rPr>
        <w:t>Khorasaninejad</w:t>
      </w:r>
      <w:proofErr w:type="spellEnd"/>
      <w:r w:rsidRPr="00A90C2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Wei Ting Chen, </w:t>
      </w:r>
      <w:proofErr w:type="spellStart"/>
      <w:r w:rsidRPr="00A90C2D">
        <w:rPr>
          <w:rFonts w:ascii="Arial" w:hAnsi="Arial" w:cs="Arial"/>
          <w:color w:val="222222"/>
          <w:sz w:val="20"/>
          <w:szCs w:val="20"/>
          <w:shd w:val="clear" w:color="auto" w:fill="FFFFFF"/>
        </w:rPr>
        <w:t>Jaewon</w:t>
      </w:r>
      <w:proofErr w:type="spellEnd"/>
      <w:r w:rsidRPr="00A90C2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Oh, and Federico Capasso. </w:t>
      </w:r>
      <w:r w:rsidRPr="00A90C2D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"Broadband high-efficiency dielectric metasurfaces for the visible spectrum." </w:t>
      </w:r>
      <w:r w:rsidRPr="00A90C2D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Proceedings of the National Academy of Sciences</w:t>
      </w:r>
      <w:r w:rsidRPr="00A90C2D">
        <w:rPr>
          <w:rFonts w:ascii="Arial" w:hAnsi="Arial" w:cs="Arial"/>
          <w:color w:val="222222"/>
          <w:sz w:val="20"/>
          <w:szCs w:val="20"/>
          <w:shd w:val="clear" w:color="auto" w:fill="FFFFFF"/>
        </w:rPr>
        <w:t> 113, no. 38 (2016): 10473-10478.</w:t>
      </w:r>
    </w:p>
    <w:p w14:paraId="106EF901" w14:textId="7BCC3F04" w:rsidR="00E366D6" w:rsidRPr="00A90C2D" w:rsidRDefault="00573FFE" w:rsidP="00573FFE">
      <w:pPr>
        <w:numPr>
          <w:ilvl w:val="0"/>
          <w:numId w:val="2"/>
        </w:numPr>
        <w:autoSpaceDE w:val="0"/>
        <w:autoSpaceDN w:val="0"/>
        <w:adjustRightInd w:val="0"/>
        <w:rPr>
          <w:rFonts w:ascii="cmr10" w:hAnsi="cmr10"/>
          <w:kern w:val="0"/>
          <w:sz w:val="20"/>
          <w:szCs w:val="20"/>
        </w:rPr>
      </w:pPr>
      <w:proofErr w:type="spellStart"/>
      <w:r w:rsidRPr="00A90C2D">
        <w:rPr>
          <w:rFonts w:ascii="Arial" w:hAnsi="Arial" w:cs="Arial"/>
          <w:color w:val="222222"/>
          <w:sz w:val="20"/>
          <w:szCs w:val="20"/>
          <w:shd w:val="clear" w:color="auto" w:fill="FFFFFF"/>
          <w:lang w:val="it-IT"/>
        </w:rPr>
        <w:t>Spägele</w:t>
      </w:r>
      <w:proofErr w:type="spellEnd"/>
      <w:r w:rsidRPr="00A90C2D">
        <w:rPr>
          <w:rFonts w:ascii="Arial" w:hAnsi="Arial" w:cs="Arial"/>
          <w:color w:val="222222"/>
          <w:sz w:val="20"/>
          <w:szCs w:val="20"/>
          <w:shd w:val="clear" w:color="auto" w:fill="FFFFFF"/>
          <w:lang w:val="it-IT"/>
        </w:rPr>
        <w:t xml:space="preserve"> Christina, Michele Tamagnone, Dmitry Kazakov, Marcus Ossiander, Marco Piccardo, and Federico Capasso. </w:t>
      </w:r>
      <w:r w:rsidRPr="00A90C2D">
        <w:rPr>
          <w:rFonts w:ascii="Arial" w:hAnsi="Arial" w:cs="Arial"/>
          <w:color w:val="222222"/>
          <w:sz w:val="20"/>
          <w:szCs w:val="20"/>
          <w:shd w:val="clear" w:color="auto" w:fill="FFFFFF"/>
        </w:rPr>
        <w:t>"Multifunctional wide-angle optics and lasing based on supercell metasurfaces." </w:t>
      </w:r>
      <w:r w:rsidRPr="00A90C2D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Nature Communications</w:t>
      </w:r>
      <w:r w:rsidRPr="00A90C2D">
        <w:rPr>
          <w:rFonts w:ascii="Arial" w:hAnsi="Arial" w:cs="Arial"/>
          <w:color w:val="222222"/>
          <w:sz w:val="20"/>
          <w:szCs w:val="20"/>
          <w:shd w:val="clear" w:color="auto" w:fill="FFFFFF"/>
        </w:rPr>
        <w:t> 12, no. 1 (2021): 3787.</w:t>
      </w:r>
      <w:bookmarkEnd w:id="3"/>
    </w:p>
    <w:sectPr w:rsidR="00E366D6" w:rsidRPr="00A90C2D">
      <w:headerReference w:type="default" r:id="rId10"/>
      <w:pgSz w:w="12242" w:h="15842" w:code="1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FADA" w14:textId="77777777" w:rsidR="00070B84" w:rsidRDefault="00070B84">
      <w:r>
        <w:separator/>
      </w:r>
    </w:p>
  </w:endnote>
  <w:endnote w:type="continuationSeparator" w:id="0">
    <w:p w14:paraId="2823D356" w14:textId="77777777" w:rsidR="00070B84" w:rsidRDefault="0007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MBX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9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3723" w14:textId="77777777" w:rsidR="00070B84" w:rsidRDefault="00070B84">
      <w:r>
        <w:separator/>
      </w:r>
    </w:p>
  </w:footnote>
  <w:footnote w:type="continuationSeparator" w:id="0">
    <w:p w14:paraId="36A724A4" w14:textId="77777777" w:rsidR="00070B84" w:rsidRDefault="0007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6CF6" w14:textId="30302633" w:rsidR="005D12C2" w:rsidRPr="00E366D6" w:rsidRDefault="005D12C2" w:rsidP="00E366D6">
    <w:pPr>
      <w:jc w:val="left"/>
      <w:rPr>
        <w:caps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62F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4849D6"/>
    <w:multiLevelType w:val="hybridMultilevel"/>
    <w:tmpl w:val="943AE602"/>
    <w:lvl w:ilvl="0" w:tplc="5D807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606074"/>
    <w:multiLevelType w:val="multilevel"/>
    <w:tmpl w:val="352EB464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2159"/>
        </w:tabs>
        <w:ind w:left="2159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2879"/>
        </w:tabs>
        <w:ind w:left="2879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239"/>
        </w:tabs>
        <w:ind w:left="3239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59"/>
        </w:tabs>
        <w:ind w:left="3959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19"/>
        </w:tabs>
        <w:ind w:left="4319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79"/>
        </w:tabs>
        <w:ind w:left="4679" w:hanging="1440"/>
      </w:pPr>
      <w:rPr>
        <w:rFonts w:hint="eastAsia"/>
      </w:rPr>
    </w:lvl>
  </w:abstractNum>
  <w:num w:numId="1" w16cid:durableId="1654329329">
    <w:abstractNumId w:val="2"/>
  </w:num>
  <w:num w:numId="2" w16cid:durableId="1262882202">
    <w:abstractNumId w:val="1"/>
  </w:num>
  <w:num w:numId="3" w16cid:durableId="186242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8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C2"/>
    <w:rsid w:val="000057C9"/>
    <w:rsid w:val="0002054A"/>
    <w:rsid w:val="000343EA"/>
    <w:rsid w:val="000459B9"/>
    <w:rsid w:val="00065B8B"/>
    <w:rsid w:val="00070B84"/>
    <w:rsid w:val="000945E3"/>
    <w:rsid w:val="000B58A9"/>
    <w:rsid w:val="000C0683"/>
    <w:rsid w:val="000D462E"/>
    <w:rsid w:val="000F131A"/>
    <w:rsid w:val="00131517"/>
    <w:rsid w:val="00187E12"/>
    <w:rsid w:val="001B5468"/>
    <w:rsid w:val="001C1635"/>
    <w:rsid w:val="001E7141"/>
    <w:rsid w:val="00233C94"/>
    <w:rsid w:val="00252CBA"/>
    <w:rsid w:val="00272812"/>
    <w:rsid w:val="002861A4"/>
    <w:rsid w:val="002951F1"/>
    <w:rsid w:val="002C0A0B"/>
    <w:rsid w:val="002C0F0C"/>
    <w:rsid w:val="002E0658"/>
    <w:rsid w:val="003019CC"/>
    <w:rsid w:val="003348A8"/>
    <w:rsid w:val="00344DD8"/>
    <w:rsid w:val="00347987"/>
    <w:rsid w:val="00366A77"/>
    <w:rsid w:val="003B0965"/>
    <w:rsid w:val="003C31A0"/>
    <w:rsid w:val="003E28EF"/>
    <w:rsid w:val="003E47E0"/>
    <w:rsid w:val="003F1723"/>
    <w:rsid w:val="003F3C68"/>
    <w:rsid w:val="00404E0C"/>
    <w:rsid w:val="00413595"/>
    <w:rsid w:val="0045602F"/>
    <w:rsid w:val="004618A1"/>
    <w:rsid w:val="004641CD"/>
    <w:rsid w:val="00467076"/>
    <w:rsid w:val="00496360"/>
    <w:rsid w:val="00497F0F"/>
    <w:rsid w:val="004A3B50"/>
    <w:rsid w:val="004A6AA1"/>
    <w:rsid w:val="004C7CB7"/>
    <w:rsid w:val="004D0FF0"/>
    <w:rsid w:val="004D2613"/>
    <w:rsid w:val="004F50E1"/>
    <w:rsid w:val="004F5A14"/>
    <w:rsid w:val="00503538"/>
    <w:rsid w:val="0053462D"/>
    <w:rsid w:val="005402CA"/>
    <w:rsid w:val="00541582"/>
    <w:rsid w:val="005564D9"/>
    <w:rsid w:val="00573FFE"/>
    <w:rsid w:val="005837FC"/>
    <w:rsid w:val="005A672C"/>
    <w:rsid w:val="005B1A5D"/>
    <w:rsid w:val="005B640E"/>
    <w:rsid w:val="005D12C2"/>
    <w:rsid w:val="005D5691"/>
    <w:rsid w:val="005E22F8"/>
    <w:rsid w:val="005F0A5C"/>
    <w:rsid w:val="00620772"/>
    <w:rsid w:val="0064010D"/>
    <w:rsid w:val="00685755"/>
    <w:rsid w:val="006A1DFC"/>
    <w:rsid w:val="006A5C86"/>
    <w:rsid w:val="006F1F27"/>
    <w:rsid w:val="006F500E"/>
    <w:rsid w:val="0070151F"/>
    <w:rsid w:val="00713061"/>
    <w:rsid w:val="00756256"/>
    <w:rsid w:val="00772501"/>
    <w:rsid w:val="00781DBF"/>
    <w:rsid w:val="0078236B"/>
    <w:rsid w:val="00784E1B"/>
    <w:rsid w:val="00797FD4"/>
    <w:rsid w:val="007A1BCE"/>
    <w:rsid w:val="007A5C52"/>
    <w:rsid w:val="007A609E"/>
    <w:rsid w:val="007C3E50"/>
    <w:rsid w:val="007E2342"/>
    <w:rsid w:val="007E32B3"/>
    <w:rsid w:val="007F41EE"/>
    <w:rsid w:val="00807DD3"/>
    <w:rsid w:val="00863E5E"/>
    <w:rsid w:val="008644A7"/>
    <w:rsid w:val="008708D0"/>
    <w:rsid w:val="008B5C8B"/>
    <w:rsid w:val="008C0F97"/>
    <w:rsid w:val="008D1E7D"/>
    <w:rsid w:val="008D6A28"/>
    <w:rsid w:val="008E6180"/>
    <w:rsid w:val="008E651B"/>
    <w:rsid w:val="00942DE9"/>
    <w:rsid w:val="009528B5"/>
    <w:rsid w:val="009604A5"/>
    <w:rsid w:val="0096159B"/>
    <w:rsid w:val="00963C40"/>
    <w:rsid w:val="009819BD"/>
    <w:rsid w:val="009827B0"/>
    <w:rsid w:val="009A138C"/>
    <w:rsid w:val="009D4A6A"/>
    <w:rsid w:val="00A21653"/>
    <w:rsid w:val="00A44196"/>
    <w:rsid w:val="00A86255"/>
    <w:rsid w:val="00A905BA"/>
    <w:rsid w:val="00A9087E"/>
    <w:rsid w:val="00A90980"/>
    <w:rsid w:val="00A90C2D"/>
    <w:rsid w:val="00A94A93"/>
    <w:rsid w:val="00AC5BF1"/>
    <w:rsid w:val="00AE7F55"/>
    <w:rsid w:val="00AF70DB"/>
    <w:rsid w:val="00B206BE"/>
    <w:rsid w:val="00B30228"/>
    <w:rsid w:val="00B33388"/>
    <w:rsid w:val="00B415E8"/>
    <w:rsid w:val="00B7297B"/>
    <w:rsid w:val="00B812C9"/>
    <w:rsid w:val="00B84554"/>
    <w:rsid w:val="00B9322A"/>
    <w:rsid w:val="00B97E66"/>
    <w:rsid w:val="00BA5E65"/>
    <w:rsid w:val="00BD72BD"/>
    <w:rsid w:val="00BD76DD"/>
    <w:rsid w:val="00BE075B"/>
    <w:rsid w:val="00C12608"/>
    <w:rsid w:val="00C153F6"/>
    <w:rsid w:val="00C25028"/>
    <w:rsid w:val="00C44CA5"/>
    <w:rsid w:val="00C47BB6"/>
    <w:rsid w:val="00C66B68"/>
    <w:rsid w:val="00C77594"/>
    <w:rsid w:val="00C80949"/>
    <w:rsid w:val="00C91AA0"/>
    <w:rsid w:val="00CF0691"/>
    <w:rsid w:val="00D17610"/>
    <w:rsid w:val="00D213F9"/>
    <w:rsid w:val="00D2690A"/>
    <w:rsid w:val="00D35194"/>
    <w:rsid w:val="00D4542A"/>
    <w:rsid w:val="00D538A3"/>
    <w:rsid w:val="00D55496"/>
    <w:rsid w:val="00D55D3B"/>
    <w:rsid w:val="00DC3178"/>
    <w:rsid w:val="00DC4059"/>
    <w:rsid w:val="00DD0C33"/>
    <w:rsid w:val="00DD4520"/>
    <w:rsid w:val="00E01794"/>
    <w:rsid w:val="00E0771D"/>
    <w:rsid w:val="00E109DB"/>
    <w:rsid w:val="00E124B1"/>
    <w:rsid w:val="00E32809"/>
    <w:rsid w:val="00E366D6"/>
    <w:rsid w:val="00E45E97"/>
    <w:rsid w:val="00E47A5A"/>
    <w:rsid w:val="00E56E3F"/>
    <w:rsid w:val="00E6104C"/>
    <w:rsid w:val="00E63DB5"/>
    <w:rsid w:val="00E66B13"/>
    <w:rsid w:val="00EA0B8C"/>
    <w:rsid w:val="00EA5434"/>
    <w:rsid w:val="00EA548E"/>
    <w:rsid w:val="00EB0399"/>
    <w:rsid w:val="00EB2EBA"/>
    <w:rsid w:val="00EC4CC1"/>
    <w:rsid w:val="00ED608C"/>
    <w:rsid w:val="00F027F3"/>
    <w:rsid w:val="00F212D1"/>
    <w:rsid w:val="00F350CA"/>
    <w:rsid w:val="00F37AC7"/>
    <w:rsid w:val="00F56D49"/>
    <w:rsid w:val="00F80E44"/>
    <w:rsid w:val="00F8438E"/>
    <w:rsid w:val="00F90856"/>
    <w:rsid w:val="00F94037"/>
    <w:rsid w:val="00F966DB"/>
    <w:rsid w:val="00FF096E"/>
    <w:rsid w:val="00FF2A92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38DAA"/>
  <w14:defaultImageDpi w14:val="300"/>
  <w15:chartTrackingRefBased/>
  <w15:docId w15:val="{3AD72645-0FEA-4741-B092-10345A0F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left"/>
      <w:outlineLvl w:val="0"/>
    </w:pPr>
    <w:rPr>
      <w:rFonts w:ascii="CMBX10" w:hAnsi="CMBX10"/>
      <w:b/>
      <w:bCs/>
      <w:kern w:val="0"/>
      <w:sz w:val="26"/>
      <w:szCs w:val="22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left"/>
      <w:outlineLvl w:val="1"/>
    </w:pPr>
    <w:rPr>
      <w:rFonts w:ascii="CMBX9" w:hAnsi="CMBX9"/>
      <w:b/>
      <w:bCs/>
      <w:kern w:val="0"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CMBX12" w:hAnsi="CMBX12"/>
      <w:kern w:val="0"/>
      <w:sz w:val="34"/>
      <w:szCs w:val="34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cmr10" w:hAnsi="cmr10"/>
      <w:kern w:val="0"/>
      <w:sz w:val="22"/>
      <w:szCs w:val="20"/>
    </w:rPr>
  </w:style>
  <w:style w:type="character" w:styleId="CommentReference">
    <w:name w:val="annotation reference"/>
    <w:rsid w:val="009D4A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4A6A"/>
    <w:rPr>
      <w:sz w:val="20"/>
      <w:szCs w:val="20"/>
    </w:rPr>
  </w:style>
  <w:style w:type="character" w:customStyle="1" w:styleId="CommentTextChar">
    <w:name w:val="Comment Text Char"/>
    <w:link w:val="CommentText"/>
    <w:rsid w:val="009D4A6A"/>
    <w:rPr>
      <w:kern w:val="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D4A6A"/>
    <w:rPr>
      <w:b/>
      <w:bCs/>
    </w:rPr>
  </w:style>
  <w:style w:type="character" w:customStyle="1" w:styleId="CommentSubjectChar">
    <w:name w:val="Comment Subject Char"/>
    <w:link w:val="CommentSubject"/>
    <w:rsid w:val="009D4A6A"/>
    <w:rPr>
      <w:b/>
      <w:bCs/>
      <w:kern w:val="2"/>
      <w:lang w:val="en-US" w:eastAsia="zh-CN"/>
    </w:rPr>
  </w:style>
  <w:style w:type="table" w:styleId="TableGrid">
    <w:name w:val="Table Grid"/>
    <w:basedOn w:val="TableNormal"/>
    <w:rsid w:val="00E0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12C9"/>
    <w:rPr>
      <w:color w:val="808080"/>
    </w:rPr>
  </w:style>
  <w:style w:type="paragraph" w:styleId="NormalWeb">
    <w:name w:val="Normal (Web)"/>
    <w:basedOn w:val="Normal"/>
    <w:uiPriority w:val="99"/>
    <w:unhideWhenUsed/>
    <w:rsid w:val="007A5C52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US"/>
    </w:rPr>
  </w:style>
  <w:style w:type="character" w:styleId="Hyperlink">
    <w:name w:val="Hyperlink"/>
    <w:basedOn w:val="DefaultParagraphFont"/>
    <w:rsid w:val="007F41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.contino@ii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2FEE0-F12C-42A4-AD02-709F8BF1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 Simple Template for META’08 Online Papers</vt:lpstr>
      <vt:lpstr>A Simple Template for META’08 Online Papers</vt:lpstr>
    </vt:vector>
  </TitlesOfParts>
  <Company>EMA@zju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Simple Template for META’08 Online Papers</dc:title>
  <dc:subject/>
  <dc:creator>Elijah</dc:creator>
  <cp:keywords/>
  <cp:lastModifiedBy>Harsh Gupta</cp:lastModifiedBy>
  <cp:revision>73</cp:revision>
  <dcterms:created xsi:type="dcterms:W3CDTF">2023-03-16T16:58:00Z</dcterms:created>
  <dcterms:modified xsi:type="dcterms:W3CDTF">2023-06-14T10:21:00Z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7c4f6476eb0d6e8c5ff20a7bd09d605e1b958f3954d46d6b0f68a43686065c75</vt:lpwstr>
  </property>
</Properties>
</file>