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C56282" w14:textId="77777777" w:rsidR="00F931A8" w:rsidRPr="003949BB" w:rsidRDefault="00240C3B" w:rsidP="00F931A8">
      <w:pPr>
        <w:autoSpaceDE w:val="0"/>
        <w:autoSpaceDN w:val="0"/>
        <w:adjustRightInd w:val="0"/>
        <w:jc w:val="center"/>
        <w:rPr>
          <w:sz w:val="28"/>
          <w:szCs w:val="28"/>
        </w:rPr>
      </w:pPr>
      <w:r>
        <w:rPr>
          <w:b/>
          <w:sz w:val="28"/>
          <w:szCs w:val="28"/>
        </w:rPr>
        <w:t>Photosensitizer potential of doped and undoped nanostructured TiO</w:t>
      </w:r>
      <w:r w:rsidRPr="00240C3B">
        <w:rPr>
          <w:b/>
          <w:sz w:val="28"/>
          <w:szCs w:val="28"/>
          <w:vertAlign w:val="subscript"/>
        </w:rPr>
        <w:t>2</w:t>
      </w:r>
    </w:p>
    <w:p w14:paraId="7FC56283" w14:textId="77777777" w:rsidR="00F931A8" w:rsidRDefault="00F931A8" w:rsidP="002344D6">
      <w:pPr>
        <w:autoSpaceDE w:val="0"/>
        <w:autoSpaceDN w:val="0"/>
        <w:adjustRightInd w:val="0"/>
        <w:jc w:val="center"/>
        <w:rPr>
          <w:sz w:val="22"/>
          <w:szCs w:val="22"/>
        </w:rPr>
      </w:pPr>
    </w:p>
    <w:p w14:paraId="7FC56284" w14:textId="76688D29" w:rsidR="00CC429D" w:rsidRPr="003949BB" w:rsidRDefault="008B53E8" w:rsidP="002344D6">
      <w:pPr>
        <w:autoSpaceDE w:val="0"/>
        <w:autoSpaceDN w:val="0"/>
        <w:adjustRightInd w:val="0"/>
        <w:jc w:val="center"/>
        <w:rPr>
          <w:sz w:val="16"/>
          <w:szCs w:val="16"/>
        </w:rPr>
      </w:pPr>
      <w:r w:rsidRPr="008B53E8">
        <w:rPr>
          <w:sz w:val="22"/>
          <w:szCs w:val="22"/>
          <w:u w:val="single"/>
        </w:rPr>
        <w:t>M</w:t>
      </w:r>
      <w:r w:rsidR="00CC429D" w:rsidRPr="008B53E8">
        <w:rPr>
          <w:sz w:val="22"/>
          <w:szCs w:val="22"/>
          <w:u w:val="single"/>
        </w:rPr>
        <w:t xml:space="preserve">. </w:t>
      </w:r>
      <w:r w:rsidRPr="008B53E8">
        <w:rPr>
          <w:sz w:val="22"/>
          <w:szCs w:val="22"/>
          <w:u w:val="single"/>
        </w:rPr>
        <w:t>Matijević</w:t>
      </w:r>
      <w:r w:rsidR="00CC429D" w:rsidRPr="00B56D00">
        <w:rPr>
          <w:sz w:val="16"/>
          <w:szCs w:val="16"/>
          <w:vertAlign w:val="superscript"/>
        </w:rPr>
        <w:t>1</w:t>
      </w:r>
      <w:r w:rsidR="00F931A8" w:rsidRPr="00B56D00">
        <w:rPr>
          <w:sz w:val="22"/>
          <w:szCs w:val="22"/>
        </w:rPr>
        <w:t>,</w:t>
      </w:r>
      <w:r w:rsidR="00F931A8" w:rsidRPr="00F931A8">
        <w:rPr>
          <w:sz w:val="22"/>
          <w:szCs w:val="22"/>
        </w:rPr>
        <w:t xml:space="preserve"> </w:t>
      </w:r>
      <w:r w:rsidRPr="008B53E8">
        <w:rPr>
          <w:sz w:val="22"/>
          <w:szCs w:val="22"/>
        </w:rPr>
        <w:t>L. Korićanac</w:t>
      </w:r>
      <w:r w:rsidR="00B56D00">
        <w:rPr>
          <w:sz w:val="16"/>
          <w:szCs w:val="16"/>
          <w:vertAlign w:val="superscript"/>
        </w:rPr>
        <w:t>2</w:t>
      </w:r>
      <w:r>
        <w:rPr>
          <w:sz w:val="22"/>
          <w:szCs w:val="22"/>
        </w:rPr>
        <w:t xml:space="preserve">, </w:t>
      </w:r>
      <w:r w:rsidR="00C64B70">
        <w:rPr>
          <w:sz w:val="22"/>
          <w:szCs w:val="22"/>
        </w:rPr>
        <w:t>Đ. Nakarada</w:t>
      </w:r>
      <w:r w:rsidR="00C64B70">
        <w:rPr>
          <w:sz w:val="16"/>
          <w:szCs w:val="16"/>
          <w:vertAlign w:val="superscript"/>
        </w:rPr>
        <w:t>3</w:t>
      </w:r>
      <w:r w:rsidR="00C64B70">
        <w:rPr>
          <w:sz w:val="22"/>
          <w:szCs w:val="22"/>
        </w:rPr>
        <w:t xml:space="preserve">, </w:t>
      </w:r>
      <w:r w:rsidR="00B56D00">
        <w:rPr>
          <w:sz w:val="22"/>
          <w:szCs w:val="22"/>
        </w:rPr>
        <w:t>J. Žakula</w:t>
      </w:r>
      <w:r w:rsidR="00B56D00">
        <w:rPr>
          <w:sz w:val="16"/>
          <w:szCs w:val="16"/>
          <w:vertAlign w:val="superscript"/>
        </w:rPr>
        <w:t>2</w:t>
      </w:r>
      <w:r w:rsidR="00B56D00">
        <w:rPr>
          <w:sz w:val="22"/>
          <w:szCs w:val="22"/>
        </w:rPr>
        <w:t>, M. Stepić</w:t>
      </w:r>
      <w:r w:rsidR="00B56D00" w:rsidRPr="00B56D00">
        <w:rPr>
          <w:sz w:val="16"/>
          <w:szCs w:val="16"/>
          <w:vertAlign w:val="superscript"/>
        </w:rPr>
        <w:t>1</w:t>
      </w:r>
      <w:r w:rsidR="00B56D00">
        <w:rPr>
          <w:sz w:val="22"/>
          <w:szCs w:val="22"/>
        </w:rPr>
        <w:t>, M. Radoičić</w:t>
      </w:r>
      <w:r w:rsidR="00B56D00">
        <w:rPr>
          <w:sz w:val="16"/>
          <w:szCs w:val="16"/>
          <w:vertAlign w:val="superscript"/>
        </w:rPr>
        <w:t>2</w:t>
      </w:r>
      <w:r w:rsidR="00B56D00">
        <w:rPr>
          <w:sz w:val="22"/>
          <w:szCs w:val="22"/>
        </w:rPr>
        <w:t xml:space="preserve">, </w:t>
      </w:r>
      <w:r w:rsidR="00823ECA">
        <w:rPr>
          <w:sz w:val="22"/>
          <w:szCs w:val="22"/>
        </w:rPr>
        <w:t xml:space="preserve">M. </w:t>
      </w:r>
      <w:proofErr w:type="spellStart"/>
      <w:r w:rsidR="00823ECA">
        <w:rPr>
          <w:sz w:val="22"/>
          <w:szCs w:val="22"/>
        </w:rPr>
        <w:t>Mojovi</w:t>
      </w:r>
      <w:proofErr w:type="spellEnd"/>
      <w:r w:rsidR="00823ECA">
        <w:rPr>
          <w:sz w:val="22"/>
          <w:szCs w:val="22"/>
          <w:lang w:val="sr-Latn-RS"/>
        </w:rPr>
        <w:t>ć</w:t>
      </w:r>
      <w:r w:rsidR="00823ECA">
        <w:rPr>
          <w:sz w:val="16"/>
          <w:szCs w:val="16"/>
          <w:vertAlign w:val="superscript"/>
        </w:rPr>
        <w:t>3</w:t>
      </w:r>
      <w:r w:rsidR="00823ECA">
        <w:rPr>
          <w:sz w:val="22"/>
          <w:szCs w:val="22"/>
          <w:lang w:val="sr-Latn-RS"/>
        </w:rPr>
        <w:t xml:space="preserve">, </w:t>
      </w:r>
      <w:r w:rsidR="00B56D00">
        <w:rPr>
          <w:sz w:val="22"/>
          <w:szCs w:val="22"/>
        </w:rPr>
        <w:t>M. Petković</w:t>
      </w:r>
      <w:r w:rsidR="00C64B70">
        <w:rPr>
          <w:sz w:val="16"/>
          <w:szCs w:val="16"/>
          <w:vertAlign w:val="superscript"/>
        </w:rPr>
        <w:t>1</w:t>
      </w:r>
      <w:r w:rsidR="00CC429D" w:rsidRPr="008B53E8">
        <w:rPr>
          <w:sz w:val="22"/>
          <w:szCs w:val="22"/>
        </w:rPr>
        <w:t xml:space="preserve"> </w:t>
      </w:r>
      <w:r w:rsidR="00CC429D" w:rsidRPr="00F931A8">
        <w:rPr>
          <w:sz w:val="22"/>
          <w:szCs w:val="22"/>
        </w:rPr>
        <w:t xml:space="preserve">and </w:t>
      </w:r>
      <w:r w:rsidR="00C96B61">
        <w:rPr>
          <w:sz w:val="22"/>
          <w:szCs w:val="22"/>
        </w:rPr>
        <w:t>M</w:t>
      </w:r>
      <w:r w:rsidR="00CC429D" w:rsidRPr="00F931A8">
        <w:rPr>
          <w:sz w:val="22"/>
          <w:szCs w:val="22"/>
        </w:rPr>
        <w:t xml:space="preserve">. </w:t>
      </w:r>
      <w:r w:rsidR="0056281C">
        <w:rPr>
          <w:sz w:val="22"/>
          <w:szCs w:val="22"/>
        </w:rPr>
        <w:t>D</w:t>
      </w:r>
      <w:r>
        <w:rPr>
          <w:sz w:val="22"/>
          <w:szCs w:val="22"/>
        </w:rPr>
        <w:t>. Nešić</w:t>
      </w:r>
      <w:r w:rsidR="00C64B70">
        <w:rPr>
          <w:sz w:val="16"/>
          <w:szCs w:val="16"/>
          <w:vertAlign w:val="superscript"/>
        </w:rPr>
        <w:t>1</w:t>
      </w:r>
      <w:r w:rsidR="003949BB">
        <w:rPr>
          <w:sz w:val="16"/>
          <w:szCs w:val="16"/>
          <w:vertAlign w:val="superscript"/>
        </w:rPr>
        <w:t xml:space="preserve"> </w:t>
      </w:r>
    </w:p>
    <w:p w14:paraId="7FC56285" w14:textId="77777777" w:rsidR="00C64B70" w:rsidRDefault="00CC429D" w:rsidP="002344D6">
      <w:pPr>
        <w:autoSpaceDE w:val="0"/>
        <w:autoSpaceDN w:val="0"/>
        <w:adjustRightInd w:val="0"/>
        <w:jc w:val="center"/>
        <w:rPr>
          <w:i/>
          <w:iCs/>
          <w:sz w:val="20"/>
          <w:szCs w:val="20"/>
        </w:rPr>
      </w:pPr>
      <w:r w:rsidRPr="00F931A8">
        <w:rPr>
          <w:sz w:val="14"/>
          <w:szCs w:val="14"/>
          <w:vertAlign w:val="superscript"/>
        </w:rPr>
        <w:t>1</w:t>
      </w:r>
      <w:r w:rsidR="00C64B70">
        <w:rPr>
          <w:sz w:val="14"/>
          <w:szCs w:val="14"/>
          <w:vertAlign w:val="superscript"/>
        </w:rPr>
        <w:t xml:space="preserve"> </w:t>
      </w:r>
      <w:r w:rsidR="00C64B70" w:rsidRPr="00C64B70">
        <w:rPr>
          <w:i/>
          <w:iCs/>
          <w:sz w:val="20"/>
          <w:szCs w:val="20"/>
        </w:rPr>
        <w:t>COHERENCE, Department of Atomic Physics, VINČA Institute of Nuclear Sciences, National Institute of the Republic of Serbia, University of Belgrade, Belgrade, Republic of Serbia</w:t>
      </w:r>
    </w:p>
    <w:p w14:paraId="7FC56286" w14:textId="77777777" w:rsidR="00C64B70" w:rsidRPr="00C64B70" w:rsidRDefault="00C64B70" w:rsidP="00C64B70">
      <w:pPr>
        <w:autoSpaceDE w:val="0"/>
        <w:autoSpaceDN w:val="0"/>
        <w:adjustRightInd w:val="0"/>
        <w:jc w:val="center"/>
        <w:rPr>
          <w:i/>
          <w:iCs/>
          <w:sz w:val="20"/>
          <w:szCs w:val="20"/>
        </w:rPr>
      </w:pPr>
      <w:r>
        <w:rPr>
          <w:sz w:val="14"/>
          <w:szCs w:val="14"/>
          <w:vertAlign w:val="superscript"/>
        </w:rPr>
        <w:t>2</w:t>
      </w:r>
      <w:r w:rsidRPr="00C64B70">
        <w:rPr>
          <w:i/>
          <w:iCs/>
          <w:sz w:val="20"/>
          <w:szCs w:val="20"/>
        </w:rPr>
        <w:t>VINČA Institute of Nuclear Sciences, National Institute of the Republic of Serbia, University of Belgrade, Belgrade, Republic of Serbia</w:t>
      </w:r>
    </w:p>
    <w:p w14:paraId="7FC56287" w14:textId="77777777" w:rsidR="00C64B70" w:rsidRPr="00F931A8" w:rsidRDefault="00C64B70" w:rsidP="00C64B70">
      <w:pPr>
        <w:autoSpaceDE w:val="0"/>
        <w:autoSpaceDN w:val="0"/>
        <w:adjustRightInd w:val="0"/>
        <w:jc w:val="center"/>
        <w:rPr>
          <w:i/>
          <w:iCs/>
          <w:sz w:val="20"/>
          <w:szCs w:val="20"/>
        </w:rPr>
      </w:pPr>
      <w:r>
        <w:rPr>
          <w:sz w:val="14"/>
          <w:szCs w:val="14"/>
          <w:vertAlign w:val="superscript"/>
        </w:rPr>
        <w:t>3</w:t>
      </w:r>
      <w:r w:rsidRPr="00C64B70">
        <w:rPr>
          <w:i/>
          <w:iCs/>
          <w:sz w:val="20"/>
          <w:szCs w:val="20"/>
        </w:rPr>
        <w:t>Faculty of Physical Chemistry, University of Belgrade, Serbi</w:t>
      </w:r>
      <w:r>
        <w:rPr>
          <w:i/>
          <w:iCs/>
          <w:sz w:val="20"/>
          <w:szCs w:val="20"/>
        </w:rPr>
        <w:t>a</w:t>
      </w:r>
    </w:p>
    <w:p w14:paraId="7FC56288" w14:textId="77777777" w:rsidR="00CC429D" w:rsidRPr="003949BB" w:rsidRDefault="004E3764" w:rsidP="002344D6">
      <w:pPr>
        <w:autoSpaceDE w:val="0"/>
        <w:autoSpaceDN w:val="0"/>
        <w:adjustRightInd w:val="0"/>
        <w:jc w:val="center"/>
        <w:rPr>
          <w:sz w:val="20"/>
          <w:szCs w:val="20"/>
        </w:rPr>
      </w:pPr>
      <w:proofErr w:type="spellStart"/>
      <w:r>
        <w:rPr>
          <w:sz w:val="20"/>
          <w:szCs w:val="20"/>
        </w:rPr>
        <w:t>e</w:t>
      </w:r>
      <w:r w:rsidR="00CC429D" w:rsidRPr="00F931A8">
        <w:rPr>
          <w:sz w:val="20"/>
          <w:szCs w:val="20"/>
        </w:rPr>
        <w:t>-mail:</w:t>
      </w:r>
      <w:r w:rsidR="00C64B70">
        <w:rPr>
          <w:sz w:val="20"/>
          <w:szCs w:val="20"/>
        </w:rPr>
        <w:t>milica.m</w:t>
      </w:r>
      <w:r w:rsidR="00CC429D" w:rsidRPr="00F931A8">
        <w:rPr>
          <w:sz w:val="20"/>
          <w:szCs w:val="20"/>
        </w:rPr>
        <w:t>@</w:t>
      </w:r>
      <w:r w:rsidR="00C64B70">
        <w:rPr>
          <w:sz w:val="20"/>
          <w:szCs w:val="20"/>
        </w:rPr>
        <w:t>vin.bg.ac.rs</w:t>
      </w:r>
      <w:proofErr w:type="spellEnd"/>
    </w:p>
    <w:p w14:paraId="7FC56289" w14:textId="77777777" w:rsidR="003E0534" w:rsidRDefault="003E0534" w:rsidP="00933B5B">
      <w:pPr>
        <w:autoSpaceDE w:val="0"/>
        <w:autoSpaceDN w:val="0"/>
        <w:adjustRightInd w:val="0"/>
        <w:ind w:firstLine="284"/>
        <w:jc w:val="both"/>
        <w:rPr>
          <w:sz w:val="20"/>
          <w:szCs w:val="20"/>
        </w:rPr>
      </w:pPr>
    </w:p>
    <w:p w14:paraId="7FC5628A" w14:textId="77777777" w:rsidR="003E0534" w:rsidRDefault="003E0534" w:rsidP="003E0534">
      <w:pPr>
        <w:autoSpaceDE w:val="0"/>
        <w:autoSpaceDN w:val="0"/>
        <w:adjustRightInd w:val="0"/>
        <w:jc w:val="both"/>
        <w:rPr>
          <w:sz w:val="22"/>
          <w:szCs w:val="22"/>
        </w:rPr>
      </w:pPr>
    </w:p>
    <w:p w14:paraId="7FC5628B" w14:textId="60175855" w:rsidR="003E0534" w:rsidRDefault="00240C3B" w:rsidP="00240C3B">
      <w:pPr>
        <w:autoSpaceDE w:val="0"/>
        <w:autoSpaceDN w:val="0"/>
        <w:adjustRightInd w:val="0"/>
        <w:spacing w:after="120"/>
        <w:jc w:val="both"/>
        <w:rPr>
          <w:sz w:val="22"/>
          <w:szCs w:val="22"/>
        </w:rPr>
      </w:pPr>
      <w:r w:rsidRPr="00240C3B">
        <w:rPr>
          <w:sz w:val="22"/>
          <w:szCs w:val="22"/>
        </w:rPr>
        <w:t xml:space="preserve">Treating cancer remains a </w:t>
      </w:r>
      <w:r w:rsidR="0033470A">
        <w:rPr>
          <w:sz w:val="22"/>
          <w:szCs w:val="22"/>
        </w:rPr>
        <w:t>major</w:t>
      </w:r>
      <w:r w:rsidRPr="00240C3B">
        <w:rPr>
          <w:sz w:val="22"/>
          <w:szCs w:val="22"/>
        </w:rPr>
        <w:t xml:space="preserve"> challenge, despite the development of many therapies and advances in general knowledge about the disease. The treatments commonly used are invasive and non-selective, leading to severe side effects and unsatisfactory long-term outcomes.</w:t>
      </w:r>
      <w:r>
        <w:rPr>
          <w:sz w:val="22"/>
          <w:szCs w:val="22"/>
        </w:rPr>
        <w:t xml:space="preserve"> Nevertheless, external stimuli activating</w:t>
      </w:r>
      <w:r w:rsidRPr="00240C3B">
        <w:rPr>
          <w:sz w:val="22"/>
          <w:szCs w:val="22"/>
        </w:rPr>
        <w:t xml:space="preserve"> therapeutic agents in the affected area </w:t>
      </w:r>
      <w:r>
        <w:rPr>
          <w:sz w:val="22"/>
          <w:szCs w:val="22"/>
        </w:rPr>
        <w:t>can be</w:t>
      </w:r>
      <w:r w:rsidRPr="00240C3B">
        <w:rPr>
          <w:sz w:val="22"/>
          <w:szCs w:val="22"/>
        </w:rPr>
        <w:t xml:space="preserve"> more beneficial than </w:t>
      </w:r>
      <w:r w:rsidR="0033470A">
        <w:rPr>
          <w:sz w:val="22"/>
          <w:szCs w:val="22"/>
        </w:rPr>
        <w:t xml:space="preserve">these </w:t>
      </w:r>
      <w:r w:rsidRPr="00240C3B">
        <w:rPr>
          <w:sz w:val="22"/>
          <w:szCs w:val="22"/>
        </w:rPr>
        <w:t>aggressive therapies. Photodynamic therapy (PDT) is a minimally invasive</w:t>
      </w:r>
      <w:r w:rsidR="0033470A">
        <w:rPr>
          <w:sz w:val="22"/>
          <w:szCs w:val="22"/>
        </w:rPr>
        <w:t>, selective</w:t>
      </w:r>
      <w:r w:rsidRPr="00240C3B">
        <w:rPr>
          <w:sz w:val="22"/>
          <w:szCs w:val="22"/>
        </w:rPr>
        <w:t xml:space="preserve"> treatment that uses photosensitizer (PS) to damage cancer cells. The PS is activated by light, triggering a series of processes that produce reactive oxygen species (ROS), ultimately leading to cancer cell death. Numerous types of nanomaterial possess the capability to act as PS, one of which is TiO</w:t>
      </w:r>
      <w:r w:rsidRPr="00240C3B">
        <w:rPr>
          <w:sz w:val="22"/>
          <w:szCs w:val="22"/>
          <w:vertAlign w:val="subscript"/>
        </w:rPr>
        <w:t>2</w:t>
      </w:r>
      <w:r w:rsidR="0033470A">
        <w:rPr>
          <w:sz w:val="22"/>
          <w:szCs w:val="22"/>
        </w:rPr>
        <w:t xml:space="preserve"> </w:t>
      </w:r>
      <w:r w:rsidR="0033470A" w:rsidRPr="00F931A8">
        <w:rPr>
          <w:sz w:val="22"/>
          <w:szCs w:val="22"/>
        </w:rPr>
        <w:t>[</w:t>
      </w:r>
      <w:r w:rsidR="0033470A">
        <w:rPr>
          <w:sz w:val="22"/>
          <w:szCs w:val="22"/>
        </w:rPr>
        <w:t>1</w:t>
      </w:r>
      <w:r w:rsidR="0033470A" w:rsidRPr="00F931A8">
        <w:rPr>
          <w:sz w:val="22"/>
          <w:szCs w:val="22"/>
        </w:rPr>
        <w:t>]</w:t>
      </w:r>
      <w:r w:rsidR="0033470A">
        <w:rPr>
          <w:sz w:val="22"/>
          <w:szCs w:val="22"/>
        </w:rPr>
        <w:t>.</w:t>
      </w:r>
      <w:r w:rsidRPr="00240C3B">
        <w:rPr>
          <w:sz w:val="22"/>
          <w:szCs w:val="22"/>
        </w:rPr>
        <w:t xml:space="preserve"> Although nanostructured TiO</w:t>
      </w:r>
      <w:r w:rsidRPr="00240C3B">
        <w:rPr>
          <w:sz w:val="22"/>
          <w:szCs w:val="22"/>
          <w:vertAlign w:val="subscript"/>
        </w:rPr>
        <w:t>2</w:t>
      </w:r>
      <w:r w:rsidRPr="00240C3B">
        <w:rPr>
          <w:sz w:val="22"/>
          <w:szCs w:val="22"/>
        </w:rPr>
        <w:t xml:space="preserve"> is biocompatible in the absence of light, its valence band electrons can be stimulated </w:t>
      </w:r>
      <w:r>
        <w:rPr>
          <w:sz w:val="22"/>
          <w:szCs w:val="22"/>
        </w:rPr>
        <w:t xml:space="preserve">only </w:t>
      </w:r>
      <w:r w:rsidRPr="00240C3B">
        <w:rPr>
          <w:sz w:val="22"/>
          <w:szCs w:val="22"/>
        </w:rPr>
        <w:t xml:space="preserve">by ultraviolet (UV) light irradiation. </w:t>
      </w:r>
      <w:r w:rsidR="00823ECA" w:rsidRPr="00823ECA">
        <w:rPr>
          <w:sz w:val="22"/>
          <w:szCs w:val="22"/>
        </w:rPr>
        <w:t xml:space="preserve">Since </w:t>
      </w:r>
      <w:r w:rsidR="00823ECA">
        <w:rPr>
          <w:sz w:val="22"/>
          <w:szCs w:val="22"/>
        </w:rPr>
        <w:t xml:space="preserve">the </w:t>
      </w:r>
      <w:r w:rsidR="00823ECA" w:rsidRPr="00823ECA">
        <w:rPr>
          <w:sz w:val="22"/>
          <w:szCs w:val="22"/>
        </w:rPr>
        <w:t xml:space="preserve">penetration of UV light into tissue </w:t>
      </w:r>
      <w:r>
        <w:rPr>
          <w:sz w:val="22"/>
          <w:szCs w:val="22"/>
        </w:rPr>
        <w:t>is limited</w:t>
      </w:r>
      <w:r w:rsidRPr="00240C3B">
        <w:rPr>
          <w:sz w:val="22"/>
          <w:szCs w:val="22"/>
        </w:rPr>
        <w:t xml:space="preserve">, </w:t>
      </w:r>
      <w:r w:rsidR="009D514E">
        <w:rPr>
          <w:sz w:val="22"/>
          <w:szCs w:val="22"/>
        </w:rPr>
        <w:t xml:space="preserve">for application in PDT, </w:t>
      </w:r>
      <w:r w:rsidRPr="00240C3B">
        <w:rPr>
          <w:sz w:val="22"/>
          <w:szCs w:val="22"/>
        </w:rPr>
        <w:t>nanostructured TiO</w:t>
      </w:r>
      <w:r w:rsidRPr="00240C3B">
        <w:rPr>
          <w:sz w:val="22"/>
          <w:szCs w:val="22"/>
          <w:vertAlign w:val="subscript"/>
        </w:rPr>
        <w:t>2</w:t>
      </w:r>
      <w:r w:rsidRPr="00240C3B">
        <w:rPr>
          <w:sz w:val="22"/>
          <w:szCs w:val="22"/>
        </w:rPr>
        <w:t xml:space="preserve"> can be doped with heteroatoms like N or C to allow visible light re</w:t>
      </w:r>
      <w:r>
        <w:rPr>
          <w:sz w:val="22"/>
          <w:szCs w:val="22"/>
        </w:rPr>
        <w:t xml:space="preserve">sponsiveness </w:t>
      </w:r>
      <w:r w:rsidRPr="00F931A8">
        <w:rPr>
          <w:sz w:val="22"/>
          <w:szCs w:val="22"/>
        </w:rPr>
        <w:t>[</w:t>
      </w:r>
      <w:r w:rsidR="0033470A">
        <w:rPr>
          <w:sz w:val="22"/>
          <w:szCs w:val="22"/>
        </w:rPr>
        <w:t>2</w:t>
      </w:r>
      <w:r>
        <w:rPr>
          <w:sz w:val="22"/>
          <w:szCs w:val="22"/>
        </w:rPr>
        <w:t>,</w:t>
      </w:r>
      <w:r w:rsidR="0033470A">
        <w:rPr>
          <w:sz w:val="22"/>
          <w:szCs w:val="22"/>
        </w:rPr>
        <w:t>3</w:t>
      </w:r>
      <w:r w:rsidRPr="00F931A8">
        <w:rPr>
          <w:sz w:val="22"/>
          <w:szCs w:val="22"/>
        </w:rPr>
        <w:t>]</w:t>
      </w:r>
      <w:r>
        <w:rPr>
          <w:sz w:val="22"/>
          <w:szCs w:val="22"/>
        </w:rPr>
        <w:t>.</w:t>
      </w:r>
    </w:p>
    <w:p w14:paraId="7FC5628C" w14:textId="77777777" w:rsidR="003E0534" w:rsidRDefault="0033470A" w:rsidP="00240C3B">
      <w:pPr>
        <w:autoSpaceDE w:val="0"/>
        <w:autoSpaceDN w:val="0"/>
        <w:adjustRightInd w:val="0"/>
        <w:spacing w:after="120"/>
        <w:jc w:val="both"/>
        <w:rPr>
          <w:sz w:val="22"/>
          <w:szCs w:val="22"/>
        </w:rPr>
      </w:pPr>
      <w:r>
        <w:rPr>
          <w:sz w:val="22"/>
          <w:szCs w:val="22"/>
        </w:rPr>
        <w:t>This work evaluated</w:t>
      </w:r>
      <w:r w:rsidR="00240C3B" w:rsidRPr="00240C3B">
        <w:rPr>
          <w:sz w:val="22"/>
          <w:szCs w:val="22"/>
        </w:rPr>
        <w:t xml:space="preserve"> </w:t>
      </w:r>
      <w:r>
        <w:rPr>
          <w:sz w:val="22"/>
          <w:szCs w:val="22"/>
        </w:rPr>
        <w:t xml:space="preserve">the </w:t>
      </w:r>
      <w:r w:rsidR="00240C3B" w:rsidRPr="00240C3B">
        <w:rPr>
          <w:sz w:val="22"/>
          <w:szCs w:val="22"/>
        </w:rPr>
        <w:t>PS properties of unmodified nanostructured TiO</w:t>
      </w:r>
      <w:r w:rsidR="00240C3B" w:rsidRPr="00240C3B">
        <w:rPr>
          <w:sz w:val="22"/>
          <w:szCs w:val="22"/>
          <w:vertAlign w:val="subscript"/>
        </w:rPr>
        <w:t>2</w:t>
      </w:r>
      <w:r w:rsidR="00240C3B" w:rsidRPr="00240C3B">
        <w:rPr>
          <w:sz w:val="22"/>
          <w:szCs w:val="22"/>
        </w:rPr>
        <w:t xml:space="preserve"> (spherical nanoparticles TiO</w:t>
      </w:r>
      <w:r w:rsidR="00240C3B" w:rsidRPr="00240C3B">
        <w:rPr>
          <w:sz w:val="22"/>
          <w:szCs w:val="22"/>
          <w:vertAlign w:val="subscript"/>
        </w:rPr>
        <w:t>2</w:t>
      </w:r>
      <w:r w:rsidR="00240C3B" w:rsidRPr="00240C3B">
        <w:rPr>
          <w:sz w:val="22"/>
          <w:szCs w:val="22"/>
        </w:rPr>
        <w:t xml:space="preserve"> NPs and prolate </w:t>
      </w:r>
      <w:proofErr w:type="spellStart"/>
      <w:r w:rsidR="00240C3B" w:rsidRPr="00240C3B">
        <w:rPr>
          <w:sz w:val="22"/>
          <w:szCs w:val="22"/>
        </w:rPr>
        <w:t>nanospheroids</w:t>
      </w:r>
      <w:proofErr w:type="spellEnd"/>
      <w:r w:rsidR="00240C3B" w:rsidRPr="00240C3B">
        <w:rPr>
          <w:sz w:val="22"/>
          <w:szCs w:val="22"/>
        </w:rPr>
        <w:t>, TiO</w:t>
      </w:r>
      <w:r w:rsidR="00240C3B" w:rsidRPr="00240C3B">
        <w:rPr>
          <w:sz w:val="22"/>
          <w:szCs w:val="22"/>
          <w:vertAlign w:val="subscript"/>
        </w:rPr>
        <w:t>2</w:t>
      </w:r>
      <w:r w:rsidR="00240C3B" w:rsidRPr="00240C3B">
        <w:rPr>
          <w:sz w:val="22"/>
          <w:szCs w:val="22"/>
        </w:rPr>
        <w:t xml:space="preserve"> PNSs) and doped TiO</w:t>
      </w:r>
      <w:r w:rsidR="00240C3B" w:rsidRPr="00240C3B">
        <w:rPr>
          <w:sz w:val="22"/>
          <w:szCs w:val="22"/>
          <w:vertAlign w:val="subscript"/>
        </w:rPr>
        <w:t>2</w:t>
      </w:r>
      <w:r w:rsidR="00240C3B" w:rsidRPr="00240C3B">
        <w:rPr>
          <w:sz w:val="22"/>
          <w:szCs w:val="22"/>
        </w:rPr>
        <w:t xml:space="preserve"> (N- and C-TiO</w:t>
      </w:r>
      <w:r w:rsidR="00240C3B" w:rsidRPr="00240C3B">
        <w:rPr>
          <w:sz w:val="22"/>
          <w:szCs w:val="22"/>
          <w:vertAlign w:val="subscript"/>
        </w:rPr>
        <w:t>2</w:t>
      </w:r>
      <w:r w:rsidR="00240C3B" w:rsidRPr="00240C3B">
        <w:rPr>
          <w:sz w:val="22"/>
          <w:szCs w:val="22"/>
        </w:rPr>
        <w:t xml:space="preserve"> NPs). After the synthesis, the size of TiO</w:t>
      </w:r>
      <w:r w:rsidR="00240C3B" w:rsidRPr="00240C3B">
        <w:rPr>
          <w:sz w:val="22"/>
          <w:szCs w:val="22"/>
          <w:vertAlign w:val="subscript"/>
        </w:rPr>
        <w:t>2</w:t>
      </w:r>
      <w:r w:rsidR="00240C3B" w:rsidRPr="00240C3B">
        <w:rPr>
          <w:sz w:val="22"/>
          <w:szCs w:val="22"/>
        </w:rPr>
        <w:t xml:space="preserve"> was confirmed to be in the nanoscale range (5</w:t>
      </w:r>
      <w:r w:rsidR="00240C3B">
        <w:rPr>
          <w:sz w:val="22"/>
          <w:szCs w:val="22"/>
        </w:rPr>
        <w:t>-</w:t>
      </w:r>
      <w:r w:rsidR="00240C3B" w:rsidRPr="00240C3B">
        <w:rPr>
          <w:sz w:val="22"/>
          <w:szCs w:val="22"/>
        </w:rPr>
        <w:t>104 n</w:t>
      </w:r>
      <w:r w:rsidR="00240C3B">
        <w:rPr>
          <w:sz w:val="22"/>
          <w:szCs w:val="22"/>
        </w:rPr>
        <w:t>m</w:t>
      </w:r>
      <w:r w:rsidR="00240C3B" w:rsidRPr="00240C3B">
        <w:rPr>
          <w:sz w:val="22"/>
          <w:szCs w:val="22"/>
        </w:rPr>
        <w:t xml:space="preserve">) by </w:t>
      </w:r>
      <w:r w:rsidR="009D514E">
        <w:rPr>
          <w:sz w:val="22"/>
          <w:szCs w:val="22"/>
        </w:rPr>
        <w:t>t</w:t>
      </w:r>
      <w:r w:rsidR="00240C3B" w:rsidRPr="00240C3B">
        <w:rPr>
          <w:sz w:val="22"/>
          <w:szCs w:val="22"/>
        </w:rPr>
        <w:t xml:space="preserve">ransmission </w:t>
      </w:r>
      <w:r w:rsidR="009D514E">
        <w:rPr>
          <w:sz w:val="22"/>
          <w:szCs w:val="22"/>
        </w:rPr>
        <w:t>e</w:t>
      </w:r>
      <w:r w:rsidR="00240C3B" w:rsidRPr="00240C3B">
        <w:rPr>
          <w:sz w:val="22"/>
          <w:szCs w:val="22"/>
        </w:rPr>
        <w:t xml:space="preserve">lectron </w:t>
      </w:r>
      <w:r w:rsidR="009D514E">
        <w:rPr>
          <w:sz w:val="22"/>
          <w:szCs w:val="22"/>
        </w:rPr>
        <w:t>m</w:t>
      </w:r>
      <w:r w:rsidR="00240C3B" w:rsidRPr="00240C3B">
        <w:rPr>
          <w:sz w:val="22"/>
          <w:szCs w:val="22"/>
        </w:rPr>
        <w:t>icroscopy</w:t>
      </w:r>
      <w:r w:rsidR="00240C3B">
        <w:rPr>
          <w:sz w:val="22"/>
          <w:szCs w:val="22"/>
        </w:rPr>
        <w:t xml:space="preserve"> </w:t>
      </w:r>
      <w:r w:rsidR="00240C3B" w:rsidRPr="00F931A8">
        <w:rPr>
          <w:sz w:val="22"/>
          <w:szCs w:val="22"/>
        </w:rPr>
        <w:t>[</w:t>
      </w:r>
      <w:r>
        <w:rPr>
          <w:sz w:val="22"/>
          <w:szCs w:val="22"/>
        </w:rPr>
        <w:t>3</w:t>
      </w:r>
      <w:r w:rsidR="00240C3B">
        <w:rPr>
          <w:sz w:val="22"/>
          <w:szCs w:val="22"/>
        </w:rPr>
        <w:t>,</w:t>
      </w:r>
      <w:r>
        <w:rPr>
          <w:sz w:val="22"/>
          <w:szCs w:val="22"/>
        </w:rPr>
        <w:t>4</w:t>
      </w:r>
      <w:r w:rsidR="00240C3B" w:rsidRPr="00F931A8">
        <w:rPr>
          <w:sz w:val="22"/>
          <w:szCs w:val="22"/>
        </w:rPr>
        <w:t>]</w:t>
      </w:r>
      <w:r w:rsidR="00240C3B" w:rsidRPr="00240C3B">
        <w:rPr>
          <w:sz w:val="22"/>
          <w:szCs w:val="22"/>
        </w:rPr>
        <w:t>. The doped TiO</w:t>
      </w:r>
      <w:r w:rsidR="00240C3B" w:rsidRPr="00240C3B">
        <w:rPr>
          <w:sz w:val="22"/>
          <w:szCs w:val="22"/>
          <w:vertAlign w:val="subscript"/>
        </w:rPr>
        <w:t>2</w:t>
      </w:r>
      <w:r w:rsidR="00240C3B" w:rsidRPr="00240C3B">
        <w:rPr>
          <w:sz w:val="22"/>
          <w:szCs w:val="22"/>
        </w:rPr>
        <w:t xml:space="preserve"> was found to absorb visible light, as demonstrated by UV-Vis spectroscopy and bandgap calculations. Additionally, hydroxyl radicals were detected in water suspensions of TiO</w:t>
      </w:r>
      <w:r w:rsidR="00240C3B" w:rsidRPr="00240C3B">
        <w:rPr>
          <w:sz w:val="22"/>
          <w:szCs w:val="22"/>
          <w:vertAlign w:val="subscript"/>
        </w:rPr>
        <w:t>2</w:t>
      </w:r>
      <w:r w:rsidR="00240C3B" w:rsidRPr="00240C3B">
        <w:rPr>
          <w:sz w:val="22"/>
          <w:szCs w:val="22"/>
        </w:rPr>
        <w:t xml:space="preserve"> PNSs by </w:t>
      </w:r>
      <w:r w:rsidR="009D514E">
        <w:rPr>
          <w:sz w:val="22"/>
          <w:szCs w:val="22"/>
        </w:rPr>
        <w:t>e</w:t>
      </w:r>
      <w:r w:rsidR="00240C3B" w:rsidRPr="00240C3B">
        <w:rPr>
          <w:sz w:val="22"/>
          <w:szCs w:val="22"/>
        </w:rPr>
        <w:t>lectron paramagnetic resonance (EPR) spectroscopy</w:t>
      </w:r>
      <w:r w:rsidR="00240C3B">
        <w:rPr>
          <w:sz w:val="22"/>
          <w:szCs w:val="22"/>
        </w:rPr>
        <w:t xml:space="preserve">, </w:t>
      </w:r>
      <w:r>
        <w:rPr>
          <w:sz w:val="22"/>
          <w:szCs w:val="22"/>
        </w:rPr>
        <w:t xml:space="preserve">both with and without UV light illumination </w:t>
      </w:r>
      <w:r w:rsidR="00240C3B" w:rsidRPr="00F931A8">
        <w:rPr>
          <w:sz w:val="22"/>
          <w:szCs w:val="22"/>
        </w:rPr>
        <w:t>[</w:t>
      </w:r>
      <w:r>
        <w:rPr>
          <w:sz w:val="22"/>
          <w:szCs w:val="22"/>
        </w:rPr>
        <w:t>4</w:t>
      </w:r>
      <w:r w:rsidR="00240C3B" w:rsidRPr="00F931A8">
        <w:rPr>
          <w:sz w:val="22"/>
          <w:szCs w:val="22"/>
        </w:rPr>
        <w:t>]</w:t>
      </w:r>
      <w:r w:rsidR="00240C3B">
        <w:rPr>
          <w:sz w:val="22"/>
          <w:szCs w:val="22"/>
        </w:rPr>
        <w:t xml:space="preserve">. However, this radical was observed only with blue light stimulation of the water suspensions of </w:t>
      </w:r>
      <w:r w:rsidR="00240C3B" w:rsidRPr="00240C3B">
        <w:rPr>
          <w:sz w:val="22"/>
          <w:szCs w:val="22"/>
        </w:rPr>
        <w:t>N- and C-TiO</w:t>
      </w:r>
      <w:r w:rsidR="00240C3B" w:rsidRPr="00240C3B">
        <w:rPr>
          <w:sz w:val="22"/>
          <w:szCs w:val="22"/>
          <w:vertAlign w:val="subscript"/>
        </w:rPr>
        <w:t>2</w:t>
      </w:r>
      <w:r w:rsidR="00240C3B" w:rsidRPr="00240C3B">
        <w:rPr>
          <w:sz w:val="22"/>
          <w:szCs w:val="22"/>
        </w:rPr>
        <w:t xml:space="preserve"> NPs</w:t>
      </w:r>
      <w:r w:rsidR="00240C3B">
        <w:rPr>
          <w:sz w:val="22"/>
          <w:szCs w:val="22"/>
        </w:rPr>
        <w:t xml:space="preserve"> </w:t>
      </w:r>
      <w:r w:rsidR="00240C3B" w:rsidRPr="00F931A8">
        <w:rPr>
          <w:sz w:val="22"/>
          <w:szCs w:val="22"/>
        </w:rPr>
        <w:t>[</w:t>
      </w:r>
      <w:r>
        <w:rPr>
          <w:sz w:val="22"/>
          <w:szCs w:val="22"/>
        </w:rPr>
        <w:t>3</w:t>
      </w:r>
      <w:r w:rsidR="00240C3B" w:rsidRPr="00F931A8">
        <w:rPr>
          <w:sz w:val="22"/>
          <w:szCs w:val="22"/>
        </w:rPr>
        <w:t>]</w:t>
      </w:r>
      <w:r w:rsidR="00240C3B">
        <w:rPr>
          <w:sz w:val="22"/>
          <w:szCs w:val="22"/>
        </w:rPr>
        <w:t>.</w:t>
      </w:r>
    </w:p>
    <w:p w14:paraId="7FC5628D" w14:textId="77777777" w:rsidR="00E23BD2" w:rsidRDefault="0033470A" w:rsidP="009D514E">
      <w:pPr>
        <w:autoSpaceDE w:val="0"/>
        <w:autoSpaceDN w:val="0"/>
        <w:adjustRightInd w:val="0"/>
        <w:jc w:val="both"/>
        <w:rPr>
          <w:sz w:val="22"/>
          <w:szCs w:val="22"/>
        </w:rPr>
      </w:pPr>
      <w:r>
        <w:rPr>
          <w:sz w:val="22"/>
          <w:szCs w:val="22"/>
        </w:rPr>
        <w:t>Cell experiments</w:t>
      </w:r>
      <w:r w:rsidR="009D514E">
        <w:rPr>
          <w:sz w:val="22"/>
          <w:szCs w:val="22"/>
        </w:rPr>
        <w:t xml:space="preserve"> further</w:t>
      </w:r>
      <w:r>
        <w:rPr>
          <w:sz w:val="22"/>
          <w:szCs w:val="22"/>
        </w:rPr>
        <w:t xml:space="preserve"> revealed the internalization process of nanostructured TiO</w:t>
      </w:r>
      <w:r w:rsidRPr="0033470A">
        <w:rPr>
          <w:sz w:val="22"/>
          <w:szCs w:val="22"/>
          <w:vertAlign w:val="subscript"/>
        </w:rPr>
        <w:t>2</w:t>
      </w:r>
      <w:r>
        <w:rPr>
          <w:sz w:val="22"/>
          <w:szCs w:val="22"/>
        </w:rPr>
        <w:t xml:space="preserve"> within cells, their cytotoxicity profiles, and the different death modalities triggered by their uptake.</w:t>
      </w:r>
      <w:r w:rsidRPr="0033470A">
        <w:rPr>
          <w:sz w:val="22"/>
          <w:szCs w:val="22"/>
        </w:rPr>
        <w:t xml:space="preserve"> </w:t>
      </w:r>
      <w:r w:rsidR="009D514E">
        <w:rPr>
          <w:sz w:val="22"/>
          <w:szCs w:val="22"/>
        </w:rPr>
        <w:t>After c</w:t>
      </w:r>
      <w:r w:rsidR="00240C3B" w:rsidRPr="00240C3B">
        <w:rPr>
          <w:sz w:val="22"/>
          <w:szCs w:val="22"/>
        </w:rPr>
        <w:t>onfocal microscopy</w:t>
      </w:r>
      <w:r>
        <w:rPr>
          <w:sz w:val="22"/>
          <w:szCs w:val="22"/>
        </w:rPr>
        <w:t xml:space="preserve"> </w:t>
      </w:r>
      <w:r w:rsidR="009D514E">
        <w:rPr>
          <w:sz w:val="22"/>
          <w:szCs w:val="22"/>
        </w:rPr>
        <w:t>indicated</w:t>
      </w:r>
      <w:r>
        <w:rPr>
          <w:sz w:val="22"/>
          <w:szCs w:val="22"/>
        </w:rPr>
        <w:t xml:space="preserve"> the successful internalization of the</w:t>
      </w:r>
      <w:r w:rsidR="00240C3B" w:rsidRPr="00240C3B">
        <w:rPr>
          <w:sz w:val="22"/>
          <w:szCs w:val="22"/>
        </w:rPr>
        <w:t xml:space="preserve"> investigated</w:t>
      </w:r>
      <w:r>
        <w:rPr>
          <w:sz w:val="22"/>
          <w:szCs w:val="22"/>
        </w:rPr>
        <w:t xml:space="preserve"> TiO</w:t>
      </w:r>
      <w:r w:rsidRPr="0033470A">
        <w:rPr>
          <w:sz w:val="22"/>
          <w:szCs w:val="22"/>
          <w:vertAlign w:val="subscript"/>
        </w:rPr>
        <w:t>2</w:t>
      </w:r>
      <w:r w:rsidR="009D514E">
        <w:rPr>
          <w:sz w:val="22"/>
          <w:szCs w:val="22"/>
        </w:rPr>
        <w:t>,</w:t>
      </w:r>
      <w:r w:rsidR="00240C3B" w:rsidRPr="00240C3B">
        <w:rPr>
          <w:sz w:val="22"/>
          <w:szCs w:val="22"/>
        </w:rPr>
        <w:t xml:space="preserve"> </w:t>
      </w:r>
      <w:r w:rsidR="009D514E">
        <w:rPr>
          <w:sz w:val="22"/>
          <w:szCs w:val="22"/>
        </w:rPr>
        <w:t>v</w:t>
      </w:r>
      <w:r w:rsidR="00240C3B" w:rsidRPr="00240C3B">
        <w:rPr>
          <w:sz w:val="22"/>
          <w:szCs w:val="22"/>
        </w:rPr>
        <w:t xml:space="preserve">iability tests </w:t>
      </w:r>
      <w:r w:rsidR="00240C3B">
        <w:rPr>
          <w:sz w:val="22"/>
          <w:szCs w:val="22"/>
        </w:rPr>
        <w:t xml:space="preserve">on </w:t>
      </w:r>
      <w:r>
        <w:rPr>
          <w:sz w:val="22"/>
          <w:szCs w:val="22"/>
        </w:rPr>
        <w:t xml:space="preserve">different </w:t>
      </w:r>
      <w:r w:rsidR="00240C3B" w:rsidRPr="00240C3B">
        <w:rPr>
          <w:sz w:val="22"/>
          <w:szCs w:val="22"/>
        </w:rPr>
        <w:t>cell</w:t>
      </w:r>
      <w:r w:rsidR="00240C3B">
        <w:rPr>
          <w:sz w:val="22"/>
          <w:szCs w:val="22"/>
        </w:rPr>
        <w:t xml:space="preserve"> lines</w:t>
      </w:r>
      <w:r w:rsidR="00240C3B" w:rsidRPr="00240C3B">
        <w:rPr>
          <w:sz w:val="22"/>
          <w:szCs w:val="22"/>
        </w:rPr>
        <w:t xml:space="preserve"> </w:t>
      </w:r>
      <w:r w:rsidR="009D514E">
        <w:rPr>
          <w:sz w:val="22"/>
          <w:szCs w:val="22"/>
        </w:rPr>
        <w:t xml:space="preserve">confirmed their </w:t>
      </w:r>
      <w:r w:rsidR="00240C3B" w:rsidRPr="00240C3B">
        <w:rPr>
          <w:sz w:val="22"/>
          <w:szCs w:val="22"/>
        </w:rPr>
        <w:t>good biocompatibility</w:t>
      </w:r>
      <w:r w:rsidR="00240C3B">
        <w:rPr>
          <w:sz w:val="22"/>
          <w:szCs w:val="22"/>
        </w:rPr>
        <w:t xml:space="preserve"> </w:t>
      </w:r>
      <w:r w:rsidR="00240C3B" w:rsidRPr="00240C3B">
        <w:rPr>
          <w:sz w:val="22"/>
          <w:szCs w:val="22"/>
        </w:rPr>
        <w:t xml:space="preserve">without light </w:t>
      </w:r>
      <w:r w:rsidR="00240C3B" w:rsidRPr="00F931A8">
        <w:rPr>
          <w:sz w:val="22"/>
          <w:szCs w:val="22"/>
        </w:rPr>
        <w:t>[</w:t>
      </w:r>
      <w:r>
        <w:rPr>
          <w:sz w:val="22"/>
          <w:szCs w:val="22"/>
        </w:rPr>
        <w:t>3,4</w:t>
      </w:r>
      <w:r w:rsidR="00240C3B" w:rsidRPr="00F931A8">
        <w:rPr>
          <w:sz w:val="22"/>
          <w:szCs w:val="22"/>
        </w:rPr>
        <w:t>]</w:t>
      </w:r>
      <w:r w:rsidR="00240C3B">
        <w:rPr>
          <w:sz w:val="22"/>
          <w:szCs w:val="22"/>
        </w:rPr>
        <w:t>. T</w:t>
      </w:r>
      <w:r w:rsidR="00240C3B" w:rsidRPr="00240C3B">
        <w:rPr>
          <w:sz w:val="22"/>
          <w:szCs w:val="22"/>
        </w:rPr>
        <w:t>he PDT's efficacy using nanostructured TiO</w:t>
      </w:r>
      <w:r w:rsidR="00240C3B" w:rsidRPr="00240C3B">
        <w:rPr>
          <w:sz w:val="22"/>
          <w:szCs w:val="22"/>
          <w:vertAlign w:val="subscript"/>
        </w:rPr>
        <w:t>2</w:t>
      </w:r>
      <w:r w:rsidR="00240C3B" w:rsidRPr="00240C3B">
        <w:rPr>
          <w:sz w:val="22"/>
          <w:szCs w:val="22"/>
        </w:rPr>
        <w:t xml:space="preserve"> </w:t>
      </w:r>
      <w:r>
        <w:rPr>
          <w:sz w:val="22"/>
          <w:szCs w:val="22"/>
        </w:rPr>
        <w:t xml:space="preserve">and appropriate light stimuli </w:t>
      </w:r>
      <w:r w:rsidR="00240C3B">
        <w:rPr>
          <w:sz w:val="22"/>
          <w:szCs w:val="22"/>
        </w:rPr>
        <w:t xml:space="preserve">was evaluated </w:t>
      </w:r>
      <w:r w:rsidR="00240C3B" w:rsidRPr="00240C3B">
        <w:rPr>
          <w:sz w:val="22"/>
          <w:szCs w:val="22"/>
        </w:rPr>
        <w:t>on various cancer cell lines. The most significant viability reduction (60%) was observed in the HeLa cell line with the combined treatment of C-TiO</w:t>
      </w:r>
      <w:r w:rsidR="00240C3B" w:rsidRPr="00240C3B">
        <w:rPr>
          <w:sz w:val="22"/>
          <w:szCs w:val="22"/>
          <w:vertAlign w:val="subscript"/>
        </w:rPr>
        <w:t>2</w:t>
      </w:r>
      <w:r w:rsidR="00240C3B" w:rsidRPr="00240C3B">
        <w:rPr>
          <w:sz w:val="22"/>
          <w:szCs w:val="22"/>
        </w:rPr>
        <w:t xml:space="preserve"> NPs</w:t>
      </w:r>
      <w:r>
        <w:rPr>
          <w:sz w:val="22"/>
          <w:szCs w:val="22"/>
        </w:rPr>
        <w:t>-</w:t>
      </w:r>
      <w:r w:rsidR="00240C3B" w:rsidRPr="00240C3B">
        <w:rPr>
          <w:sz w:val="22"/>
          <w:szCs w:val="22"/>
        </w:rPr>
        <w:t>blue light</w:t>
      </w:r>
      <w:r>
        <w:rPr>
          <w:sz w:val="22"/>
          <w:szCs w:val="22"/>
        </w:rPr>
        <w:t xml:space="preserve">. </w:t>
      </w:r>
      <w:r w:rsidR="00240C3B" w:rsidRPr="00240C3B">
        <w:rPr>
          <w:sz w:val="22"/>
          <w:szCs w:val="22"/>
        </w:rPr>
        <w:t>In addition to EPR results, blue light-induced C-TiO</w:t>
      </w:r>
      <w:r w:rsidR="00240C3B" w:rsidRPr="00240C3B">
        <w:rPr>
          <w:sz w:val="22"/>
          <w:szCs w:val="22"/>
          <w:vertAlign w:val="subscript"/>
        </w:rPr>
        <w:t>2</w:t>
      </w:r>
      <w:r>
        <w:rPr>
          <w:sz w:val="22"/>
          <w:szCs w:val="22"/>
        </w:rPr>
        <w:t xml:space="preserve"> NPs</w:t>
      </w:r>
      <w:r w:rsidR="00240C3B" w:rsidRPr="00240C3B">
        <w:rPr>
          <w:sz w:val="22"/>
          <w:szCs w:val="22"/>
        </w:rPr>
        <w:t>-catalyzed generation of ROS was confirmed intracellularly, implying that oxidative stress was the leading cause of HeLa cell death. Fluorescent labeling allowed distinguishing morphological changes inside the cells after the C-TiO</w:t>
      </w:r>
      <w:r w:rsidR="00240C3B" w:rsidRPr="00240C3B">
        <w:rPr>
          <w:sz w:val="22"/>
          <w:szCs w:val="22"/>
          <w:vertAlign w:val="subscript"/>
        </w:rPr>
        <w:t>2</w:t>
      </w:r>
      <w:r>
        <w:rPr>
          <w:sz w:val="22"/>
          <w:szCs w:val="22"/>
        </w:rPr>
        <w:t xml:space="preserve"> NPs, </w:t>
      </w:r>
      <w:r w:rsidR="00240C3B" w:rsidRPr="00240C3B">
        <w:rPr>
          <w:sz w:val="22"/>
          <w:szCs w:val="22"/>
        </w:rPr>
        <w:t>blue light</w:t>
      </w:r>
      <w:r>
        <w:rPr>
          <w:sz w:val="22"/>
          <w:szCs w:val="22"/>
        </w:rPr>
        <w:t xml:space="preserve">, and the combined </w:t>
      </w:r>
      <w:r w:rsidRPr="00240C3B">
        <w:rPr>
          <w:sz w:val="22"/>
          <w:szCs w:val="22"/>
        </w:rPr>
        <w:t>C-TiO</w:t>
      </w:r>
      <w:r w:rsidRPr="00240C3B">
        <w:rPr>
          <w:sz w:val="22"/>
          <w:szCs w:val="22"/>
          <w:vertAlign w:val="subscript"/>
        </w:rPr>
        <w:t>2</w:t>
      </w:r>
      <w:r>
        <w:rPr>
          <w:sz w:val="22"/>
          <w:szCs w:val="22"/>
        </w:rPr>
        <w:t xml:space="preserve"> NPs-</w:t>
      </w:r>
      <w:r w:rsidRPr="00240C3B">
        <w:rPr>
          <w:sz w:val="22"/>
          <w:szCs w:val="22"/>
        </w:rPr>
        <w:t>blue light</w:t>
      </w:r>
      <w:r>
        <w:rPr>
          <w:sz w:val="22"/>
          <w:szCs w:val="22"/>
        </w:rPr>
        <w:t xml:space="preserve"> treatment</w:t>
      </w:r>
      <w:r w:rsidR="00240C3B" w:rsidRPr="00240C3B">
        <w:rPr>
          <w:sz w:val="22"/>
          <w:szCs w:val="22"/>
        </w:rPr>
        <w:t>. Blue light exposure led to the appearance of large necrotic cells with deformed nuclei, cytoplasm swelling, and membrane blebbing. In contrast, the combined therapy with C-TiO</w:t>
      </w:r>
      <w:r w:rsidR="00240C3B" w:rsidRPr="00240C3B">
        <w:rPr>
          <w:sz w:val="22"/>
          <w:szCs w:val="22"/>
          <w:vertAlign w:val="subscript"/>
        </w:rPr>
        <w:t>2</w:t>
      </w:r>
      <w:r>
        <w:rPr>
          <w:sz w:val="22"/>
          <w:szCs w:val="22"/>
        </w:rPr>
        <w:t xml:space="preserve"> NPs-</w:t>
      </w:r>
      <w:r w:rsidR="00240C3B" w:rsidRPr="00240C3B">
        <w:rPr>
          <w:sz w:val="22"/>
          <w:szCs w:val="22"/>
        </w:rPr>
        <w:t xml:space="preserve">blue light resulted in controlled cell death, </w:t>
      </w:r>
      <w:r w:rsidR="009D514E">
        <w:rPr>
          <w:sz w:val="22"/>
          <w:szCs w:val="22"/>
        </w:rPr>
        <w:t xml:space="preserve">such as autophagy. </w:t>
      </w:r>
      <w:r w:rsidR="009D514E" w:rsidRPr="009D514E">
        <w:rPr>
          <w:sz w:val="22"/>
          <w:szCs w:val="22"/>
        </w:rPr>
        <w:t xml:space="preserve">Since </w:t>
      </w:r>
      <w:r w:rsidR="009D514E">
        <w:rPr>
          <w:sz w:val="22"/>
          <w:szCs w:val="22"/>
        </w:rPr>
        <w:t>programmed cell death</w:t>
      </w:r>
      <w:r w:rsidR="009D514E" w:rsidRPr="009D514E">
        <w:rPr>
          <w:sz w:val="22"/>
          <w:szCs w:val="22"/>
        </w:rPr>
        <w:t xml:space="preserve"> is the desired cancer cell death</w:t>
      </w:r>
      <w:r w:rsidR="009D514E">
        <w:rPr>
          <w:sz w:val="22"/>
          <w:szCs w:val="22"/>
        </w:rPr>
        <w:t xml:space="preserve"> </w:t>
      </w:r>
      <w:r w:rsidR="009D514E" w:rsidRPr="009D514E">
        <w:rPr>
          <w:sz w:val="22"/>
          <w:szCs w:val="22"/>
        </w:rPr>
        <w:t xml:space="preserve">mechanism, </w:t>
      </w:r>
      <w:r w:rsidR="009D514E">
        <w:rPr>
          <w:sz w:val="22"/>
          <w:szCs w:val="22"/>
        </w:rPr>
        <w:t xml:space="preserve">the combined treatment presented here can provide </w:t>
      </w:r>
      <w:r w:rsidR="009D514E" w:rsidRPr="00240C3B">
        <w:rPr>
          <w:sz w:val="22"/>
          <w:szCs w:val="22"/>
        </w:rPr>
        <w:t>a better outcome of local anticancer t</w:t>
      </w:r>
      <w:r w:rsidR="009D514E">
        <w:rPr>
          <w:sz w:val="22"/>
          <w:szCs w:val="22"/>
        </w:rPr>
        <w:t>herapy.</w:t>
      </w:r>
    </w:p>
    <w:p w14:paraId="7FC5628E" w14:textId="77777777" w:rsidR="003949BB" w:rsidRDefault="003949BB" w:rsidP="002344D6">
      <w:pPr>
        <w:autoSpaceDE w:val="0"/>
        <w:autoSpaceDN w:val="0"/>
        <w:adjustRightInd w:val="0"/>
        <w:jc w:val="both"/>
        <w:rPr>
          <w:sz w:val="22"/>
          <w:szCs w:val="22"/>
        </w:rPr>
      </w:pPr>
    </w:p>
    <w:p w14:paraId="7FC5628F" w14:textId="77777777" w:rsidR="00CC429D" w:rsidRPr="00F931A8" w:rsidRDefault="00CC429D" w:rsidP="002344D6">
      <w:pPr>
        <w:autoSpaceDE w:val="0"/>
        <w:autoSpaceDN w:val="0"/>
        <w:adjustRightInd w:val="0"/>
        <w:jc w:val="both"/>
        <w:rPr>
          <w:sz w:val="22"/>
          <w:szCs w:val="22"/>
        </w:rPr>
      </w:pPr>
      <w:r w:rsidRPr="00F931A8">
        <w:rPr>
          <w:sz w:val="22"/>
          <w:szCs w:val="22"/>
        </w:rPr>
        <w:t>R</w:t>
      </w:r>
      <w:r w:rsidR="00EC6F4C">
        <w:rPr>
          <w:sz w:val="22"/>
          <w:szCs w:val="22"/>
        </w:rPr>
        <w:t>EFERENCES</w:t>
      </w:r>
    </w:p>
    <w:p w14:paraId="7FC56290" w14:textId="44C32564" w:rsidR="0033470A" w:rsidRPr="00F05EB9" w:rsidRDefault="0033470A" w:rsidP="002344D6">
      <w:pPr>
        <w:autoSpaceDE w:val="0"/>
        <w:autoSpaceDN w:val="0"/>
        <w:adjustRightInd w:val="0"/>
        <w:jc w:val="both"/>
        <w:rPr>
          <w:sz w:val="22"/>
          <w:szCs w:val="22"/>
        </w:rPr>
      </w:pPr>
      <w:r w:rsidRPr="00F931A8">
        <w:rPr>
          <w:sz w:val="22"/>
          <w:szCs w:val="22"/>
        </w:rPr>
        <w:t xml:space="preserve">[1] </w:t>
      </w:r>
      <w:r w:rsidRPr="0033470A">
        <w:rPr>
          <w:sz w:val="22"/>
          <w:szCs w:val="22"/>
        </w:rPr>
        <w:t>Z</w:t>
      </w:r>
      <w:r>
        <w:rPr>
          <w:sz w:val="22"/>
          <w:szCs w:val="22"/>
        </w:rPr>
        <w:t>.</w:t>
      </w:r>
      <w:r w:rsidRPr="0033470A">
        <w:rPr>
          <w:sz w:val="22"/>
          <w:szCs w:val="22"/>
        </w:rPr>
        <w:t xml:space="preserve"> </w:t>
      </w:r>
      <w:proofErr w:type="spellStart"/>
      <w:r w:rsidRPr="0033470A">
        <w:rPr>
          <w:sz w:val="22"/>
          <w:szCs w:val="22"/>
        </w:rPr>
        <w:t>Haijun</w:t>
      </w:r>
      <w:proofErr w:type="spellEnd"/>
      <w:r w:rsidR="00F05EB9">
        <w:rPr>
          <w:sz w:val="22"/>
          <w:szCs w:val="22"/>
        </w:rPr>
        <w:t xml:space="preserve"> et al.</w:t>
      </w:r>
      <w:r>
        <w:rPr>
          <w:sz w:val="22"/>
          <w:szCs w:val="22"/>
        </w:rPr>
        <w:t>,</w:t>
      </w:r>
      <w:r w:rsidRPr="0033470A">
        <w:rPr>
          <w:sz w:val="22"/>
          <w:szCs w:val="22"/>
        </w:rPr>
        <w:t xml:space="preserve"> J</w:t>
      </w:r>
      <w:r>
        <w:rPr>
          <w:sz w:val="22"/>
          <w:szCs w:val="22"/>
        </w:rPr>
        <w:t>.</w:t>
      </w:r>
      <w:r w:rsidRPr="0033470A">
        <w:rPr>
          <w:sz w:val="22"/>
          <w:szCs w:val="22"/>
        </w:rPr>
        <w:t xml:space="preserve"> Biomed</w:t>
      </w:r>
      <w:r>
        <w:rPr>
          <w:sz w:val="22"/>
          <w:szCs w:val="22"/>
        </w:rPr>
        <w:t>.</w:t>
      </w:r>
      <w:r w:rsidRPr="0033470A">
        <w:rPr>
          <w:sz w:val="22"/>
          <w:szCs w:val="22"/>
        </w:rPr>
        <w:t xml:space="preserve"> </w:t>
      </w:r>
      <w:proofErr w:type="spellStart"/>
      <w:r w:rsidRPr="0033470A">
        <w:rPr>
          <w:sz w:val="22"/>
          <w:szCs w:val="22"/>
        </w:rPr>
        <w:t>Nanotechnol</w:t>
      </w:r>
      <w:proofErr w:type="spellEnd"/>
      <w:r>
        <w:rPr>
          <w:sz w:val="22"/>
          <w:szCs w:val="22"/>
        </w:rPr>
        <w:t>.</w:t>
      </w:r>
      <w:r>
        <w:t xml:space="preserve"> </w:t>
      </w:r>
      <w:r w:rsidRPr="00823ECA">
        <w:rPr>
          <w:sz w:val="22"/>
          <w:szCs w:val="22"/>
          <w:lang w:val="de-DE"/>
        </w:rPr>
        <w:t>10, 1450</w:t>
      </w:r>
      <w:r w:rsidR="00F05EB9" w:rsidRPr="00F05EB9">
        <w:t xml:space="preserve"> </w:t>
      </w:r>
      <w:r w:rsidRPr="00F05EB9">
        <w:t>(</w:t>
      </w:r>
      <w:r w:rsidRPr="00F05EB9">
        <w:rPr>
          <w:sz w:val="22"/>
          <w:szCs w:val="22"/>
        </w:rPr>
        <w:t>2014).</w:t>
      </w:r>
    </w:p>
    <w:p w14:paraId="7FC56291" w14:textId="745FCD26" w:rsidR="00CC429D" w:rsidRPr="00F05EB9" w:rsidRDefault="00CC429D" w:rsidP="002344D6">
      <w:pPr>
        <w:autoSpaceDE w:val="0"/>
        <w:autoSpaceDN w:val="0"/>
        <w:adjustRightInd w:val="0"/>
        <w:jc w:val="both"/>
        <w:rPr>
          <w:sz w:val="22"/>
          <w:szCs w:val="22"/>
        </w:rPr>
      </w:pPr>
      <w:r w:rsidRPr="00823ECA">
        <w:rPr>
          <w:sz w:val="22"/>
          <w:szCs w:val="22"/>
          <w:lang w:val="en-GB"/>
        </w:rPr>
        <w:t>[</w:t>
      </w:r>
      <w:r w:rsidR="0033470A" w:rsidRPr="00823ECA">
        <w:rPr>
          <w:sz w:val="22"/>
          <w:szCs w:val="22"/>
          <w:lang w:val="en-GB"/>
        </w:rPr>
        <w:t>2</w:t>
      </w:r>
      <w:r w:rsidRPr="00823ECA">
        <w:rPr>
          <w:sz w:val="22"/>
          <w:szCs w:val="22"/>
          <w:lang w:val="en-GB"/>
        </w:rPr>
        <w:t xml:space="preserve">] </w:t>
      </w:r>
      <w:r w:rsidR="00240C3B" w:rsidRPr="00823ECA">
        <w:rPr>
          <w:sz w:val="22"/>
          <w:szCs w:val="22"/>
          <w:lang w:val="en-GB"/>
        </w:rPr>
        <w:t>Z</w:t>
      </w:r>
      <w:r w:rsidR="0033470A" w:rsidRPr="00823ECA">
        <w:rPr>
          <w:sz w:val="22"/>
          <w:szCs w:val="22"/>
          <w:lang w:val="en-GB"/>
        </w:rPr>
        <w:t>.</w:t>
      </w:r>
      <w:r w:rsidR="00240C3B" w:rsidRPr="00823ECA">
        <w:rPr>
          <w:sz w:val="22"/>
          <w:szCs w:val="22"/>
          <w:lang w:val="en-GB"/>
        </w:rPr>
        <w:t xml:space="preserve"> Li</w:t>
      </w:r>
      <w:r w:rsidR="00F05EB9" w:rsidRPr="00823ECA">
        <w:rPr>
          <w:sz w:val="22"/>
          <w:szCs w:val="22"/>
          <w:lang w:val="en-GB"/>
        </w:rPr>
        <w:t xml:space="preserve"> et al.,</w:t>
      </w:r>
      <w:r w:rsidR="00240C3B" w:rsidRPr="00823ECA">
        <w:rPr>
          <w:sz w:val="22"/>
          <w:szCs w:val="22"/>
          <w:lang w:val="en-GB"/>
        </w:rPr>
        <w:t xml:space="preserve"> Nan</w:t>
      </w:r>
      <w:r w:rsidR="0033470A" w:rsidRPr="00823ECA">
        <w:rPr>
          <w:sz w:val="22"/>
          <w:szCs w:val="22"/>
          <w:lang w:val="en-GB"/>
        </w:rPr>
        <w:t>o</w:t>
      </w:r>
      <w:r w:rsidR="00240C3B" w:rsidRPr="00823ECA">
        <w:rPr>
          <w:sz w:val="22"/>
          <w:szCs w:val="22"/>
          <w:lang w:val="en-GB"/>
        </w:rPr>
        <w:t xml:space="preserve">. Res. </w:t>
      </w:r>
      <w:r w:rsidR="00240C3B" w:rsidRPr="00F05EB9">
        <w:rPr>
          <w:sz w:val="22"/>
          <w:szCs w:val="22"/>
        </w:rPr>
        <w:t>Lett.</w:t>
      </w:r>
      <w:r w:rsidR="00240C3B" w:rsidRPr="00F05EB9">
        <w:t xml:space="preserve"> </w:t>
      </w:r>
      <w:r w:rsidR="00240C3B" w:rsidRPr="00823ECA">
        <w:rPr>
          <w:sz w:val="22"/>
          <w:szCs w:val="22"/>
          <w:lang w:val="de-DE"/>
        </w:rPr>
        <w:t>6,</w:t>
      </w:r>
      <w:r w:rsidR="0033470A" w:rsidRPr="00823ECA">
        <w:rPr>
          <w:sz w:val="22"/>
          <w:szCs w:val="22"/>
          <w:lang w:val="de-DE"/>
        </w:rPr>
        <w:t xml:space="preserve"> </w:t>
      </w:r>
      <w:r w:rsidR="00240C3B" w:rsidRPr="00823ECA">
        <w:rPr>
          <w:sz w:val="22"/>
          <w:szCs w:val="22"/>
          <w:lang w:val="de-DE"/>
        </w:rPr>
        <w:t>356</w:t>
      </w:r>
      <w:r w:rsidR="00240C3B" w:rsidRPr="00F05EB9">
        <w:t xml:space="preserve"> (</w:t>
      </w:r>
      <w:r w:rsidR="00240C3B" w:rsidRPr="00F05EB9">
        <w:rPr>
          <w:sz w:val="22"/>
          <w:szCs w:val="22"/>
        </w:rPr>
        <w:t>2011).</w:t>
      </w:r>
    </w:p>
    <w:p w14:paraId="7FC56292" w14:textId="01CCD5F2" w:rsidR="00CC429D" w:rsidRPr="00F05EB9" w:rsidRDefault="00CC429D" w:rsidP="00240C3B">
      <w:pPr>
        <w:autoSpaceDE w:val="0"/>
        <w:autoSpaceDN w:val="0"/>
        <w:adjustRightInd w:val="0"/>
        <w:jc w:val="both"/>
        <w:rPr>
          <w:sz w:val="22"/>
          <w:szCs w:val="22"/>
        </w:rPr>
      </w:pPr>
      <w:r w:rsidRPr="00F05EB9">
        <w:rPr>
          <w:sz w:val="22"/>
          <w:szCs w:val="22"/>
        </w:rPr>
        <w:t>[</w:t>
      </w:r>
      <w:r w:rsidR="0033470A" w:rsidRPr="00F05EB9">
        <w:rPr>
          <w:sz w:val="22"/>
          <w:szCs w:val="22"/>
        </w:rPr>
        <w:t>3</w:t>
      </w:r>
      <w:r w:rsidRPr="00F05EB9">
        <w:rPr>
          <w:sz w:val="22"/>
          <w:szCs w:val="22"/>
        </w:rPr>
        <w:t xml:space="preserve">] </w:t>
      </w:r>
      <w:r w:rsidR="0033470A" w:rsidRPr="00F05EB9">
        <w:rPr>
          <w:sz w:val="22"/>
          <w:szCs w:val="22"/>
        </w:rPr>
        <w:t>M. Matijević et al. Photochem. &amp; Photobio. S</w:t>
      </w:r>
      <w:r w:rsidR="00F05EB9">
        <w:rPr>
          <w:sz w:val="22"/>
          <w:szCs w:val="22"/>
        </w:rPr>
        <w:t>ci</w:t>
      </w:r>
      <w:r w:rsidR="0033470A" w:rsidRPr="00F05EB9">
        <w:rPr>
          <w:sz w:val="22"/>
          <w:szCs w:val="22"/>
        </w:rPr>
        <w:t>. 20, 1087 (2021).</w:t>
      </w:r>
    </w:p>
    <w:p w14:paraId="7FC56293" w14:textId="77777777" w:rsidR="00240C3B" w:rsidRPr="00F05EB9" w:rsidRDefault="00240C3B" w:rsidP="00240C3B">
      <w:pPr>
        <w:autoSpaceDE w:val="0"/>
        <w:autoSpaceDN w:val="0"/>
        <w:adjustRightInd w:val="0"/>
        <w:jc w:val="both"/>
        <w:rPr>
          <w:sz w:val="22"/>
          <w:szCs w:val="22"/>
        </w:rPr>
      </w:pPr>
      <w:r w:rsidRPr="00F05EB9">
        <w:rPr>
          <w:sz w:val="22"/>
          <w:szCs w:val="22"/>
        </w:rPr>
        <w:t>[</w:t>
      </w:r>
      <w:r w:rsidR="0033470A" w:rsidRPr="00F05EB9">
        <w:rPr>
          <w:sz w:val="22"/>
          <w:szCs w:val="22"/>
        </w:rPr>
        <w:t>4</w:t>
      </w:r>
      <w:r w:rsidRPr="00F05EB9">
        <w:rPr>
          <w:sz w:val="22"/>
          <w:szCs w:val="22"/>
        </w:rPr>
        <w:t xml:space="preserve">] </w:t>
      </w:r>
      <w:r w:rsidR="0033470A" w:rsidRPr="00F05EB9">
        <w:rPr>
          <w:sz w:val="22"/>
          <w:szCs w:val="22"/>
        </w:rPr>
        <w:t>M. Matijevi</w:t>
      </w:r>
      <w:r w:rsidR="0033470A">
        <w:rPr>
          <w:sz w:val="22"/>
          <w:szCs w:val="22"/>
        </w:rPr>
        <w:t>ć</w:t>
      </w:r>
      <w:r w:rsidR="00F05EB9">
        <w:rPr>
          <w:sz w:val="22"/>
          <w:szCs w:val="22"/>
        </w:rPr>
        <w:t xml:space="preserve"> et al.,</w:t>
      </w:r>
      <w:r w:rsidR="0033470A">
        <w:rPr>
          <w:sz w:val="22"/>
          <w:szCs w:val="22"/>
        </w:rPr>
        <w:t xml:space="preserve"> </w:t>
      </w:r>
      <w:r w:rsidR="0033470A" w:rsidRPr="00F05EB9">
        <w:rPr>
          <w:sz w:val="22"/>
          <w:szCs w:val="22"/>
        </w:rPr>
        <w:t>J. Nanopart. Res</w:t>
      </w:r>
      <w:r w:rsidRPr="00F05EB9">
        <w:rPr>
          <w:sz w:val="22"/>
          <w:szCs w:val="22"/>
        </w:rPr>
        <w:t>.</w:t>
      </w:r>
      <w:r w:rsidRPr="00F05EB9">
        <w:t xml:space="preserve"> </w:t>
      </w:r>
      <w:r w:rsidR="0033470A" w:rsidRPr="00823ECA">
        <w:rPr>
          <w:sz w:val="22"/>
          <w:szCs w:val="22"/>
          <w:lang w:val="de-DE"/>
        </w:rPr>
        <w:t>22</w:t>
      </w:r>
      <w:r w:rsidRPr="00823ECA">
        <w:rPr>
          <w:sz w:val="22"/>
          <w:szCs w:val="22"/>
          <w:lang w:val="de-DE"/>
        </w:rPr>
        <w:t>,</w:t>
      </w:r>
      <w:r w:rsidR="0033470A" w:rsidRPr="00823ECA">
        <w:rPr>
          <w:sz w:val="22"/>
          <w:szCs w:val="22"/>
          <w:lang w:val="de-DE"/>
        </w:rPr>
        <w:t xml:space="preserve"> 175</w:t>
      </w:r>
      <w:r w:rsidRPr="00F05EB9">
        <w:t xml:space="preserve"> (</w:t>
      </w:r>
      <w:r w:rsidRPr="00F05EB9">
        <w:rPr>
          <w:sz w:val="22"/>
          <w:szCs w:val="22"/>
        </w:rPr>
        <w:t>20</w:t>
      </w:r>
      <w:r w:rsidR="0033470A" w:rsidRPr="00F05EB9">
        <w:rPr>
          <w:sz w:val="22"/>
          <w:szCs w:val="22"/>
        </w:rPr>
        <w:t>20</w:t>
      </w:r>
      <w:r w:rsidRPr="00F05EB9">
        <w:rPr>
          <w:sz w:val="22"/>
          <w:szCs w:val="22"/>
        </w:rPr>
        <w:t>)</w:t>
      </w:r>
      <w:r w:rsidR="0033470A" w:rsidRPr="00F05EB9">
        <w:rPr>
          <w:sz w:val="22"/>
          <w:szCs w:val="22"/>
        </w:rPr>
        <w:t>.</w:t>
      </w:r>
    </w:p>
    <w:sectPr w:rsidR="00240C3B" w:rsidRPr="00F05EB9" w:rsidSect="006A6C19">
      <w:pgSz w:w="11907" w:h="16840" w:code="9"/>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BmJDA3MTI2NjcyBTSUcpOLW4ODM/D6TAuBYAt82haSwAAAA="/>
  </w:docVars>
  <w:rsids>
    <w:rsidRoot w:val="00CC429D"/>
    <w:rsid w:val="00037E31"/>
    <w:rsid w:val="00050DC8"/>
    <w:rsid w:val="000A3267"/>
    <w:rsid w:val="000D5EFF"/>
    <w:rsid w:val="000E24E1"/>
    <w:rsid w:val="0010060E"/>
    <w:rsid w:val="0016793B"/>
    <w:rsid w:val="00182F21"/>
    <w:rsid w:val="0019259C"/>
    <w:rsid w:val="001C4C2D"/>
    <w:rsid w:val="001E5803"/>
    <w:rsid w:val="002021E7"/>
    <w:rsid w:val="002344D6"/>
    <w:rsid w:val="00240C3B"/>
    <w:rsid w:val="00284FA3"/>
    <w:rsid w:val="002D3E49"/>
    <w:rsid w:val="0033470A"/>
    <w:rsid w:val="00336A61"/>
    <w:rsid w:val="003949BB"/>
    <w:rsid w:val="003B0B4A"/>
    <w:rsid w:val="003E0534"/>
    <w:rsid w:val="003E78D2"/>
    <w:rsid w:val="004E3764"/>
    <w:rsid w:val="004F7A3D"/>
    <w:rsid w:val="005243C5"/>
    <w:rsid w:val="0056281C"/>
    <w:rsid w:val="005C083B"/>
    <w:rsid w:val="005E0E65"/>
    <w:rsid w:val="00614221"/>
    <w:rsid w:val="006316BB"/>
    <w:rsid w:val="00634539"/>
    <w:rsid w:val="006A6C19"/>
    <w:rsid w:val="006C1B0C"/>
    <w:rsid w:val="006F1839"/>
    <w:rsid w:val="00731D38"/>
    <w:rsid w:val="007714E1"/>
    <w:rsid w:val="00787C90"/>
    <w:rsid w:val="007E0CB8"/>
    <w:rsid w:val="00817F14"/>
    <w:rsid w:val="00823ECA"/>
    <w:rsid w:val="00887745"/>
    <w:rsid w:val="008B53E8"/>
    <w:rsid w:val="00933B5B"/>
    <w:rsid w:val="00937560"/>
    <w:rsid w:val="009530BA"/>
    <w:rsid w:val="0098310E"/>
    <w:rsid w:val="00991AF1"/>
    <w:rsid w:val="009D514E"/>
    <w:rsid w:val="009E1E5E"/>
    <w:rsid w:val="00A64658"/>
    <w:rsid w:val="00AB49CF"/>
    <w:rsid w:val="00AF194F"/>
    <w:rsid w:val="00B215E4"/>
    <w:rsid w:val="00B56D00"/>
    <w:rsid w:val="00B95BFF"/>
    <w:rsid w:val="00BF5067"/>
    <w:rsid w:val="00C31D69"/>
    <w:rsid w:val="00C64B70"/>
    <w:rsid w:val="00C96B61"/>
    <w:rsid w:val="00CC429D"/>
    <w:rsid w:val="00CD7FD3"/>
    <w:rsid w:val="00D32527"/>
    <w:rsid w:val="00E23BD2"/>
    <w:rsid w:val="00E2743A"/>
    <w:rsid w:val="00EC6F4C"/>
    <w:rsid w:val="00F04C82"/>
    <w:rsid w:val="00F05EB9"/>
    <w:rsid w:val="00F931A8"/>
    <w:rsid w:val="00FB46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C56282"/>
  <w15:docId w15:val="{1AC084DE-A6E9-4CA3-9C0A-DD54EA429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05EB9"/>
    <w:rPr>
      <w:rFonts w:ascii="Tahoma" w:hAnsi="Tahoma" w:cs="Tahoma"/>
      <w:sz w:val="16"/>
      <w:szCs w:val="16"/>
    </w:rPr>
  </w:style>
  <w:style w:type="character" w:customStyle="1" w:styleId="BalloonTextChar">
    <w:name w:val="Balloon Text Char"/>
    <w:basedOn w:val="DefaultParagraphFont"/>
    <w:link w:val="BalloonText"/>
    <w:uiPriority w:val="99"/>
    <w:semiHidden/>
    <w:rsid w:val="00F05EB9"/>
    <w:rPr>
      <w:rFonts w:ascii="Tahoma" w:hAnsi="Tahoma" w:cs="Tahoma"/>
      <w:sz w:val="16"/>
      <w:szCs w:val="16"/>
      <w:lang w:val="en-US" w:eastAsia="en-US"/>
    </w:rPr>
  </w:style>
  <w:style w:type="paragraph" w:styleId="Revision">
    <w:name w:val="Revision"/>
    <w:hidden/>
    <w:uiPriority w:val="99"/>
    <w:semiHidden/>
    <w:rsid w:val="00823ECA"/>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2B2C20-4DCD-4600-AAE2-BD5D8075D4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615</Words>
  <Characters>3508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How to prepare an abstract for ISCOM</vt:lpstr>
    </vt:vector>
  </TitlesOfParts>
  <Company>Grizli777</Company>
  <LinksUpToDate>false</LinksUpToDate>
  <CharactersWithSpaces>4115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 to prepare an abstract for ISCOM</dc:title>
  <dc:creator>User</dc:creator>
  <cp:lastModifiedBy>Milica Matijević</cp:lastModifiedBy>
  <cp:revision>2</cp:revision>
  <cp:lastPrinted>2007-04-17T12:39:00Z</cp:lastPrinted>
  <dcterms:created xsi:type="dcterms:W3CDTF">2023-06-17T19:43:00Z</dcterms:created>
  <dcterms:modified xsi:type="dcterms:W3CDTF">2023-06-17T19:43:00Z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dc35672bcca9db0709714a0f380a680672d9c2fd5105a567e7e9fa5b3e5b06cc</vt:lpwstr>
  </property>
</Properties>
</file>