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75A79F" w14:textId="0DD02F86" w:rsidR="003A0D85" w:rsidRPr="000566EE" w:rsidRDefault="000566EE" w:rsidP="003A0D85">
      <w:pPr>
        <w:pStyle w:val="papertitle"/>
        <w:rPr>
          <w:rFonts w:ascii="Arial" w:hAnsi="Arial" w:cs="Arial"/>
          <w:b/>
          <w:sz w:val="24"/>
          <w:szCs w:val="24"/>
        </w:rPr>
      </w:pPr>
      <w:r w:rsidRPr="000566EE">
        <w:rPr>
          <w:rFonts w:ascii="Arial" w:hAnsi="Arial" w:cs="Arial"/>
          <w:b/>
          <w:sz w:val="24"/>
          <w:szCs w:val="24"/>
        </w:rPr>
        <w:t>Light-enhanced Transdermal Drug Delivery</w:t>
      </w:r>
    </w:p>
    <w:p w14:paraId="16634752" w14:textId="77777777" w:rsidR="00D53A94" w:rsidRPr="003A0D85" w:rsidRDefault="00D53A94" w:rsidP="0016319D">
      <w:pPr>
        <w:autoSpaceDE w:val="0"/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u w:val="single"/>
          <w:lang w:val="en-US" w:eastAsia="en-IN"/>
        </w:rPr>
      </w:pPr>
    </w:p>
    <w:p w14:paraId="29C39313" w14:textId="289C963A" w:rsidR="00D71521" w:rsidRDefault="00116733" w:rsidP="003D4BC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92CBF">
        <w:rPr>
          <w:rFonts w:ascii="Arial" w:hAnsi="Arial" w:cs="Arial"/>
          <w:sz w:val="24"/>
          <w:szCs w:val="24"/>
          <w:lang w:val="en-US"/>
        </w:rPr>
        <w:t xml:space="preserve">Rabah </w:t>
      </w:r>
      <w:proofErr w:type="spellStart"/>
      <w:r w:rsidRPr="00092CBF">
        <w:rPr>
          <w:rFonts w:ascii="Arial" w:hAnsi="Arial" w:cs="Arial"/>
          <w:sz w:val="24"/>
          <w:szCs w:val="24"/>
          <w:lang w:val="en-US"/>
        </w:rPr>
        <w:t>Boukherroub</w:t>
      </w:r>
      <w:proofErr w:type="spellEnd"/>
    </w:p>
    <w:p w14:paraId="58FB9A51" w14:textId="77777777" w:rsidR="00092CBF" w:rsidRPr="000566EE" w:rsidRDefault="00092CBF" w:rsidP="00092CBF">
      <w:pPr>
        <w:pStyle w:val="BCAuthorAddress"/>
        <w:rPr>
          <w:sz w:val="22"/>
          <w:szCs w:val="22"/>
        </w:rPr>
      </w:pPr>
      <w:r w:rsidRPr="000566EE">
        <w:rPr>
          <w:sz w:val="22"/>
          <w:szCs w:val="22"/>
        </w:rPr>
        <w:t>Univ. Lille, CNRS, Centrale Lille, Univ. Polytechnique Hauts-de-France, IEMN, UMR CNRS 8520, F-59000 Lille, France</w:t>
      </w:r>
    </w:p>
    <w:p w14:paraId="1A3BFAC0" w14:textId="54E040FD" w:rsidR="00092CBF" w:rsidRPr="00092CBF" w:rsidRDefault="00092CBF" w:rsidP="00092CBF">
      <w:pPr>
        <w:spacing w:after="60" w:line="240" w:lineRule="auto"/>
        <w:jc w:val="center"/>
        <w:rPr>
          <w:rFonts w:ascii="Arial" w:hAnsi="Arial" w:cs="Arial"/>
          <w:lang w:val="fr-FR"/>
        </w:rPr>
      </w:pPr>
      <w:proofErr w:type="gramStart"/>
      <w:r w:rsidRPr="00092CBF">
        <w:rPr>
          <w:rFonts w:ascii="Arial" w:hAnsi="Arial" w:cs="Arial"/>
          <w:lang w:val="fr-FR"/>
        </w:rPr>
        <w:t>E-mail:</w:t>
      </w:r>
      <w:proofErr w:type="gramEnd"/>
      <w:r w:rsidRPr="00092CBF">
        <w:rPr>
          <w:rFonts w:ascii="Arial" w:hAnsi="Arial" w:cs="Arial"/>
          <w:lang w:val="fr-FR"/>
        </w:rPr>
        <w:t xml:space="preserve"> </w:t>
      </w:r>
      <w:hyperlink r:id="rId7" w:history="1">
        <w:r w:rsidRPr="00092CBF">
          <w:rPr>
            <w:rStyle w:val="Lienhypertexte"/>
            <w:rFonts w:ascii="Arial" w:hAnsi="Arial" w:cs="Arial"/>
            <w:lang w:val="fr-FR"/>
          </w:rPr>
          <w:t>rabah.boukherroub@univ-lille.fr</w:t>
        </w:r>
      </w:hyperlink>
      <w:r w:rsidRPr="00092CBF">
        <w:rPr>
          <w:rFonts w:ascii="Arial" w:hAnsi="Arial" w:cs="Arial"/>
          <w:lang w:val="fr-FR"/>
        </w:rPr>
        <w:t xml:space="preserve"> </w:t>
      </w:r>
    </w:p>
    <w:p w14:paraId="66633FCB" w14:textId="5E1C22BF" w:rsidR="005E3A0A" w:rsidRPr="002F74A4" w:rsidRDefault="005E3A0A" w:rsidP="00DA58DD">
      <w:pPr>
        <w:pStyle w:val="Sansinterligne"/>
        <w:rPr>
          <w:rFonts w:ascii="Arial" w:hAnsi="Arial" w:cs="Arial"/>
          <w:iCs/>
          <w:sz w:val="24"/>
          <w:szCs w:val="24"/>
          <w:lang w:val="fr-FR"/>
        </w:rPr>
      </w:pPr>
      <w:r w:rsidRPr="002F74A4">
        <w:rPr>
          <w:rFonts w:ascii="Arial" w:hAnsi="Arial" w:cs="Arial"/>
          <w:iCs/>
          <w:sz w:val="24"/>
          <w:szCs w:val="24"/>
          <w:lang w:val="fr-FR"/>
        </w:rPr>
        <w:tab/>
      </w:r>
    </w:p>
    <w:p w14:paraId="7BD482DE" w14:textId="77777777" w:rsidR="0016319D" w:rsidRPr="003A0D85" w:rsidRDefault="0016319D" w:rsidP="006E61BE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6FA25FD8" w14:textId="77777777" w:rsidR="00092CBF" w:rsidRDefault="000566EE" w:rsidP="00D92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Advances in materials science and bio</w:t>
      </w:r>
      <w:r>
        <w:rPr>
          <w:rStyle w:val="markedcontent"/>
          <w:rFonts w:ascii="Arial" w:hAnsi="Arial" w:cs="Arial"/>
        </w:rPr>
        <w:t>-</w:t>
      </w:r>
      <w:r>
        <w:rPr>
          <w:rStyle w:val="markedcontent"/>
          <w:rFonts w:ascii="Arial" w:hAnsi="Arial" w:cs="Arial"/>
        </w:rPr>
        <w:t>nanotechnology have allowed the refinements of</w:t>
      </w:r>
      <w:r>
        <w:br/>
      </w:r>
      <w:r>
        <w:rPr>
          <w:rStyle w:val="markedcontent"/>
          <w:rFonts w:ascii="Arial" w:hAnsi="Arial" w:cs="Arial"/>
        </w:rPr>
        <w:t>current drug delivery systems, expected to facilitate the development of personalized</w:t>
      </w:r>
      <w:r w:rsidR="00092CBF">
        <w:t xml:space="preserve"> </w:t>
      </w:r>
      <w:r>
        <w:rPr>
          <w:rStyle w:val="markedcontent"/>
          <w:rFonts w:ascii="Arial" w:hAnsi="Arial" w:cs="Arial"/>
        </w:rPr>
        <w:t>medicine. While dermatological topical pharmaceutical formulations</w:t>
      </w:r>
      <w:r w:rsidR="00092CBF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such as foams,</w:t>
      </w:r>
      <w:r w:rsidR="00092CBF">
        <w:t xml:space="preserve"> </w:t>
      </w:r>
      <w:r>
        <w:rPr>
          <w:rStyle w:val="markedcontent"/>
          <w:rFonts w:ascii="Arial" w:hAnsi="Arial" w:cs="Arial"/>
        </w:rPr>
        <w:t xml:space="preserve">creams, lotions, gels, etc., have been </w:t>
      </w:r>
      <w:r w:rsidR="00092CBF">
        <w:rPr>
          <w:rStyle w:val="markedcontent"/>
          <w:rFonts w:ascii="Arial" w:hAnsi="Arial" w:cs="Arial"/>
        </w:rPr>
        <w:t>developed</w:t>
      </w:r>
      <w:r>
        <w:rPr>
          <w:rStyle w:val="markedcontent"/>
          <w:rFonts w:ascii="Arial" w:hAnsi="Arial" w:cs="Arial"/>
        </w:rPr>
        <w:t xml:space="preserve"> </w:t>
      </w:r>
      <w:r w:rsidR="00092CBF">
        <w:rPr>
          <w:rStyle w:val="markedcontent"/>
          <w:rFonts w:ascii="Arial" w:hAnsi="Arial" w:cs="Arial"/>
        </w:rPr>
        <w:t xml:space="preserve">and used </w:t>
      </w:r>
      <w:r>
        <w:rPr>
          <w:rStyle w:val="markedcontent"/>
          <w:rFonts w:ascii="Arial" w:hAnsi="Arial" w:cs="Arial"/>
        </w:rPr>
        <w:t>for decades, these systems target</w:t>
      </w:r>
      <w:r w:rsidR="00092CBF">
        <w:t xml:space="preserve"> </w:t>
      </w:r>
      <w:r>
        <w:rPr>
          <w:rStyle w:val="markedcontent"/>
          <w:rFonts w:ascii="Arial" w:hAnsi="Arial" w:cs="Arial"/>
        </w:rPr>
        <w:t>mainly skin-based diseases. To treat systemic medical conditions as well as localized</w:t>
      </w:r>
      <w:r w:rsidR="00092CBF">
        <w:t xml:space="preserve"> </w:t>
      </w:r>
      <w:r>
        <w:rPr>
          <w:rStyle w:val="markedcontent"/>
          <w:rFonts w:ascii="Arial" w:hAnsi="Arial" w:cs="Arial"/>
        </w:rPr>
        <w:t xml:space="preserve">problems such as joint or muscle </w:t>
      </w:r>
      <w:r w:rsidR="00B44065">
        <w:rPr>
          <w:rStyle w:val="markedcontent"/>
          <w:rFonts w:ascii="Arial" w:hAnsi="Arial" w:cs="Arial"/>
        </w:rPr>
        <w:t>diseases</w:t>
      </w:r>
      <w:r>
        <w:rPr>
          <w:rStyle w:val="markedcontent"/>
          <w:rFonts w:ascii="Arial" w:hAnsi="Arial" w:cs="Arial"/>
        </w:rPr>
        <w:t>, transdermal delivery systems (TDDSs),</w:t>
      </w:r>
      <w:r w:rsidR="00092CBF">
        <w:t xml:space="preserve"> </w:t>
      </w:r>
      <w:r>
        <w:rPr>
          <w:rStyle w:val="markedcontent"/>
          <w:rFonts w:ascii="Arial" w:hAnsi="Arial" w:cs="Arial"/>
        </w:rPr>
        <w:t xml:space="preserve">which use the skin as the main route of drug delivery, are very appealing. </w:t>
      </w:r>
    </w:p>
    <w:p w14:paraId="4499C4E1" w14:textId="56D8D8C3" w:rsidR="000566EE" w:rsidRDefault="000566EE" w:rsidP="00D92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Over the</w:t>
      </w:r>
      <w:r w:rsidR="00092CBF">
        <w:t xml:space="preserve"> </w:t>
      </w:r>
      <w:r>
        <w:rPr>
          <w:rStyle w:val="markedcontent"/>
          <w:rFonts w:ascii="Arial" w:hAnsi="Arial" w:cs="Arial"/>
        </w:rPr>
        <w:t>years, these systems have shown to offer important advantages over oral as well as</w:t>
      </w:r>
      <w:r>
        <w:br/>
      </w:r>
      <w:r>
        <w:rPr>
          <w:rStyle w:val="markedcontent"/>
          <w:rFonts w:ascii="Arial" w:hAnsi="Arial" w:cs="Arial"/>
        </w:rPr>
        <w:t>intravenous drug delivery routes. Besides being non-invasive and painless, TDDSs</w:t>
      </w:r>
      <w:r w:rsidR="00092CBF">
        <w:t xml:space="preserve"> </w:t>
      </w:r>
      <w:r>
        <w:rPr>
          <w:rStyle w:val="markedcontent"/>
          <w:rFonts w:ascii="Arial" w:hAnsi="Arial" w:cs="Arial"/>
        </w:rPr>
        <w:t>are able to deliver drugs with a short-half-life time more easily and are well</w:t>
      </w:r>
      <w:r>
        <w:rPr>
          <w:rStyle w:val="markedcontent"/>
          <w:rFonts w:ascii="Arial" w:hAnsi="Arial" w:cs="Arial"/>
        </w:rPr>
        <w:t>-</w:t>
      </w:r>
      <w:r>
        <w:rPr>
          <w:rStyle w:val="markedcontent"/>
          <w:rFonts w:ascii="Arial" w:hAnsi="Arial" w:cs="Arial"/>
        </w:rPr>
        <w:t>adapted to</w:t>
      </w:r>
      <w:r w:rsidR="00092CBF">
        <w:t xml:space="preserve"> </w:t>
      </w:r>
      <w:r>
        <w:rPr>
          <w:rStyle w:val="markedcontent"/>
          <w:rFonts w:ascii="Arial" w:hAnsi="Arial" w:cs="Arial"/>
        </w:rPr>
        <w:t xml:space="preserve">eliminate frequent administrations to maintain constant drug delivery. </w:t>
      </w:r>
    </w:p>
    <w:p w14:paraId="2D245A0D" w14:textId="3C2BEB7B" w:rsidR="000566EE" w:rsidRDefault="0097655F" w:rsidP="00D92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However, t</w:t>
      </w:r>
      <w:r w:rsidR="000566EE">
        <w:rPr>
          <w:rStyle w:val="markedcontent"/>
          <w:rFonts w:ascii="Arial" w:hAnsi="Arial" w:cs="Arial"/>
        </w:rPr>
        <w:t>he transdermal market still</w:t>
      </w:r>
      <w:r w:rsidR="000566EE">
        <w:t xml:space="preserve"> </w:t>
      </w:r>
      <w:r w:rsidR="000566EE">
        <w:rPr>
          <w:rStyle w:val="markedcontent"/>
          <w:rFonts w:ascii="Arial" w:hAnsi="Arial" w:cs="Arial"/>
        </w:rPr>
        <w:t>remains limited to a narrow range of drugs. While small</w:t>
      </w:r>
      <w:r>
        <w:rPr>
          <w:rStyle w:val="markedcontent"/>
          <w:rFonts w:ascii="Arial" w:hAnsi="Arial" w:cs="Arial"/>
        </w:rPr>
        <w:t xml:space="preserve"> </w:t>
      </w:r>
      <w:r w:rsidR="000566EE">
        <w:rPr>
          <w:rStyle w:val="markedcontent"/>
          <w:rFonts w:ascii="Arial" w:hAnsi="Arial" w:cs="Arial"/>
        </w:rPr>
        <w:t>and lipophilic drugs have been</w:t>
      </w:r>
      <w:r w:rsidR="000566EE">
        <w:t xml:space="preserve"> </w:t>
      </w:r>
      <w:r w:rsidR="000566EE">
        <w:rPr>
          <w:rStyle w:val="markedcontent"/>
          <w:rFonts w:ascii="Arial" w:hAnsi="Arial" w:cs="Arial"/>
        </w:rPr>
        <w:t>successfully delivered using TDDSs, this approach fails to</w:t>
      </w:r>
      <w:r>
        <w:rPr>
          <w:rStyle w:val="markedcontent"/>
          <w:rFonts w:ascii="Arial" w:hAnsi="Arial" w:cs="Arial"/>
        </w:rPr>
        <w:t xml:space="preserve"> </w:t>
      </w:r>
      <w:r w:rsidR="000566EE">
        <w:rPr>
          <w:rStyle w:val="markedcontent"/>
          <w:rFonts w:ascii="Arial" w:hAnsi="Arial" w:cs="Arial"/>
        </w:rPr>
        <w:t xml:space="preserve">deliver therapeutic macromolecules due to size-limited transport across the </w:t>
      </w:r>
      <w:r w:rsidR="000566EE" w:rsidRPr="00B44065">
        <w:rPr>
          <w:rStyle w:val="markedcontent"/>
          <w:rFonts w:ascii="Arial" w:hAnsi="Arial" w:cs="Arial"/>
          <w:i/>
          <w:iCs/>
        </w:rPr>
        <w:t>stratum corneum</w:t>
      </w:r>
      <w:r w:rsidR="000566EE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</w:t>
      </w:r>
      <w:r w:rsidR="000566EE">
        <w:rPr>
          <w:rStyle w:val="markedcontent"/>
          <w:rFonts w:ascii="Arial" w:hAnsi="Arial" w:cs="Arial"/>
        </w:rPr>
        <w:t>the outermost layer</w:t>
      </w:r>
      <w:r w:rsidR="000566EE">
        <w:t xml:space="preserve"> </w:t>
      </w:r>
      <w:r w:rsidR="000566EE">
        <w:rPr>
          <w:rStyle w:val="markedcontent"/>
          <w:rFonts w:ascii="Arial" w:hAnsi="Arial" w:cs="Arial"/>
        </w:rPr>
        <w:t xml:space="preserve">of the </w:t>
      </w:r>
      <w:r w:rsidR="000566EE" w:rsidRPr="0097655F">
        <w:rPr>
          <w:rStyle w:val="markedcontent"/>
          <w:rFonts w:ascii="Arial" w:hAnsi="Arial" w:cs="Arial"/>
          <w:i/>
          <w:iCs/>
        </w:rPr>
        <w:t>epidermis</w:t>
      </w:r>
      <w:r w:rsidR="000566EE">
        <w:rPr>
          <w:rStyle w:val="markedcontent"/>
          <w:rFonts w:ascii="Arial" w:hAnsi="Arial" w:cs="Arial"/>
        </w:rPr>
        <w:t xml:space="preserve">. The low permeability of the </w:t>
      </w:r>
      <w:r w:rsidR="000566EE" w:rsidRPr="00B44065">
        <w:rPr>
          <w:rStyle w:val="markedcontent"/>
          <w:rFonts w:ascii="Arial" w:hAnsi="Arial" w:cs="Arial"/>
          <w:i/>
          <w:iCs/>
        </w:rPr>
        <w:t>stratum corneum</w:t>
      </w:r>
      <w:r w:rsidR="000566EE">
        <w:rPr>
          <w:rStyle w:val="markedcontent"/>
          <w:rFonts w:ascii="Arial" w:hAnsi="Arial" w:cs="Arial"/>
        </w:rPr>
        <w:t xml:space="preserve"> to water</w:t>
      </w:r>
      <w:r>
        <w:rPr>
          <w:rStyle w:val="markedcontent"/>
          <w:rFonts w:ascii="Arial" w:hAnsi="Arial" w:cs="Arial"/>
        </w:rPr>
        <w:t xml:space="preserve"> </w:t>
      </w:r>
      <w:r w:rsidR="000566EE">
        <w:rPr>
          <w:rStyle w:val="markedcontent"/>
          <w:rFonts w:ascii="Arial" w:hAnsi="Arial" w:cs="Arial"/>
        </w:rPr>
        <w:t>soluble drugs</w:t>
      </w:r>
      <w:r w:rsidR="000566EE">
        <w:t xml:space="preserve"> </w:t>
      </w:r>
      <w:r w:rsidR="000566EE">
        <w:rPr>
          <w:rStyle w:val="markedcontent"/>
          <w:rFonts w:ascii="Arial" w:hAnsi="Arial" w:cs="Arial"/>
        </w:rPr>
        <w:t>as well as macromolecules poses important challenges to transdermal</w:t>
      </w:r>
      <w:r>
        <w:rPr>
          <w:rStyle w:val="markedcontent"/>
          <w:rFonts w:ascii="Arial" w:hAnsi="Arial" w:cs="Arial"/>
        </w:rPr>
        <w:t xml:space="preserve"> </w:t>
      </w:r>
      <w:r w:rsidR="000566EE">
        <w:rPr>
          <w:rStyle w:val="markedcontent"/>
          <w:rFonts w:ascii="Arial" w:hAnsi="Arial" w:cs="Arial"/>
        </w:rPr>
        <w:t>administration.</w:t>
      </w:r>
      <w:r w:rsidR="000566EE">
        <w:br/>
      </w:r>
      <w:r w:rsidR="000566EE">
        <w:rPr>
          <w:rStyle w:val="markedcontent"/>
          <w:rFonts w:ascii="Arial" w:hAnsi="Arial" w:cs="Arial"/>
        </w:rPr>
        <w:t>To widen the scope of drugs for transdermal delivery, new procedures to enhance skin</w:t>
      </w:r>
      <w:r w:rsidR="000566EE">
        <w:br/>
      </w:r>
      <w:r w:rsidR="000566EE">
        <w:rPr>
          <w:rStyle w:val="markedcontent"/>
          <w:rFonts w:ascii="Arial" w:hAnsi="Arial" w:cs="Arial"/>
        </w:rPr>
        <w:t>permeation to hydrophilic drugs and macromolecules are under development. Next</w:t>
      </w:r>
      <w:r w:rsidR="000566EE">
        <w:br/>
      </w:r>
      <w:r w:rsidR="000566EE">
        <w:rPr>
          <w:rStyle w:val="markedcontent"/>
          <w:rFonts w:ascii="Arial" w:hAnsi="Arial" w:cs="Arial"/>
        </w:rPr>
        <w:t>to iontophoresis and microneedle-based concepts, thermal-based approaches have</w:t>
      </w:r>
      <w:r w:rsidR="000566EE">
        <w:br/>
      </w:r>
      <w:r w:rsidR="000566EE">
        <w:rPr>
          <w:rStyle w:val="markedcontent"/>
          <w:rFonts w:ascii="Arial" w:hAnsi="Arial" w:cs="Arial"/>
        </w:rPr>
        <w:t xml:space="preserve">shown great promise to enhance transdermal drug delivery of different therapeutics. </w:t>
      </w:r>
    </w:p>
    <w:p w14:paraId="298AA1F3" w14:textId="646CB015" w:rsidR="00D92611" w:rsidRDefault="00F40216" w:rsidP="00D92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</w:rPr>
      </w:pPr>
      <w:r w:rsidRPr="00B44065">
        <w:rPr>
          <w:rFonts w:ascii="Arial" w:hAnsi="Arial" w:cs="Arial"/>
          <w:lang w:val="en-US"/>
        </w:rPr>
        <w:t xml:space="preserve">In this presentation, I will discuss our original contribution on </w:t>
      </w:r>
      <w:r w:rsidR="00D92611">
        <w:rPr>
          <w:rStyle w:val="markedcontent"/>
          <w:rFonts w:ascii="Arial" w:hAnsi="Arial" w:cs="Arial"/>
        </w:rPr>
        <w:t>the</w:t>
      </w:r>
      <w:r w:rsidR="00D92611">
        <w:rPr>
          <w:rStyle w:val="markedcontent"/>
          <w:rFonts w:ascii="Arial" w:hAnsi="Arial" w:cs="Arial"/>
        </w:rPr>
        <w:t xml:space="preserve"> </w:t>
      </w:r>
      <w:r w:rsidR="00D92611">
        <w:rPr>
          <w:rFonts w:ascii="Arial" w:hAnsi="Arial" w:cs="Arial"/>
        </w:rPr>
        <w:t>o</w:t>
      </w:r>
      <w:r w:rsidR="00D92611" w:rsidRPr="00D92611">
        <w:rPr>
          <w:rFonts w:ascii="Arial" w:hAnsi="Arial" w:cs="Arial"/>
        </w:rPr>
        <w:t>n-demand delivery of drugs</w:t>
      </w:r>
      <w:r w:rsidR="00D92611" w:rsidRPr="00D92611">
        <w:rPr>
          <w:rFonts w:ascii="Arial" w:hAnsi="Arial" w:cs="Arial"/>
        </w:rPr>
        <w:br/>
      </w:r>
      <w:r w:rsidR="00D92611" w:rsidRPr="00D92611">
        <w:rPr>
          <w:rFonts w:ascii="Arial" w:hAnsi="Arial" w:cs="Arial"/>
          <w:i/>
          <w:iCs/>
        </w:rPr>
        <w:t>via</w:t>
      </w:r>
      <w:r w:rsidR="00D92611" w:rsidRPr="00D92611">
        <w:rPr>
          <w:rFonts w:ascii="Arial" w:hAnsi="Arial" w:cs="Arial"/>
        </w:rPr>
        <w:t xml:space="preserve"> light activation </w:t>
      </w:r>
      <w:r w:rsidR="00D92611">
        <w:rPr>
          <w:rFonts w:ascii="Arial" w:hAnsi="Arial" w:cs="Arial"/>
        </w:rPr>
        <w:t xml:space="preserve">for the </w:t>
      </w:r>
      <w:r w:rsidR="00D92611" w:rsidRPr="00D92611">
        <w:rPr>
          <w:rFonts w:ascii="Arial" w:hAnsi="Arial" w:cs="Arial"/>
        </w:rPr>
        <w:t>treatment of chronic diseases</w:t>
      </w:r>
      <w:r w:rsidR="00092CBF">
        <w:rPr>
          <w:rFonts w:ascii="Arial" w:hAnsi="Arial" w:cs="Arial"/>
        </w:rPr>
        <w:t xml:space="preserve">, </w:t>
      </w:r>
      <w:r w:rsidR="00D92611" w:rsidRPr="00D92611">
        <w:rPr>
          <w:rFonts w:ascii="Arial" w:hAnsi="Arial" w:cs="Arial"/>
        </w:rPr>
        <w:t>such</w:t>
      </w:r>
      <w:r w:rsidR="00092CBF">
        <w:rPr>
          <w:rFonts w:ascii="Arial" w:hAnsi="Arial" w:cs="Arial"/>
        </w:rPr>
        <w:t xml:space="preserve"> </w:t>
      </w:r>
      <w:r w:rsidR="00D92611" w:rsidRPr="00D92611">
        <w:rPr>
          <w:rFonts w:ascii="Arial" w:hAnsi="Arial" w:cs="Arial"/>
        </w:rPr>
        <w:t xml:space="preserve">as diabetics, hypertension, </w:t>
      </w:r>
      <w:r w:rsidR="00DA52C6">
        <w:rPr>
          <w:rFonts w:ascii="Arial" w:hAnsi="Arial" w:cs="Arial"/>
        </w:rPr>
        <w:t xml:space="preserve">but also for </w:t>
      </w:r>
      <w:r w:rsidR="00C7772B">
        <w:rPr>
          <w:rFonts w:ascii="Arial" w:hAnsi="Arial" w:cs="Arial"/>
        </w:rPr>
        <w:t>wound treatment</w:t>
      </w:r>
      <w:r w:rsidR="00D92611" w:rsidRPr="00D92611">
        <w:rPr>
          <w:rFonts w:ascii="Arial" w:hAnsi="Arial" w:cs="Arial"/>
        </w:rPr>
        <w:t>.</w:t>
      </w:r>
    </w:p>
    <w:p w14:paraId="446020A6" w14:textId="1811E969" w:rsidR="005E3A0A" w:rsidRPr="00052FFB" w:rsidRDefault="00D92611" w:rsidP="00976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</w:rPr>
      </w:pPr>
      <w:r>
        <w:br/>
      </w:r>
      <w:bookmarkStart w:id="0" w:name="_GoBack"/>
      <w:bookmarkEnd w:id="0"/>
      <w:r w:rsidR="005E3A0A" w:rsidRPr="00052FFB">
        <w:rPr>
          <w:rFonts w:ascii="Arial" w:hAnsi="Arial" w:cs="Arial"/>
          <w:b/>
          <w:color w:val="000000"/>
        </w:rPr>
        <w:t>Reference</w:t>
      </w:r>
      <w:r w:rsidR="00DC7F34" w:rsidRPr="00052FFB">
        <w:rPr>
          <w:rFonts w:ascii="Arial" w:hAnsi="Arial" w:cs="Arial"/>
          <w:b/>
          <w:color w:val="000000"/>
        </w:rPr>
        <w:t>s</w:t>
      </w:r>
      <w:r w:rsidR="005E3A0A" w:rsidRPr="00052FFB">
        <w:rPr>
          <w:rFonts w:ascii="Arial" w:hAnsi="Arial" w:cs="Arial"/>
          <w:b/>
          <w:color w:val="000000"/>
        </w:rPr>
        <w:t xml:space="preserve"> </w:t>
      </w:r>
    </w:p>
    <w:p w14:paraId="4E38624F" w14:textId="20B36C04" w:rsidR="00DC7F34" w:rsidRPr="00052FFB" w:rsidRDefault="00DC7F34" w:rsidP="00DC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" w:hAnsi="Arial" w:cs="Arial"/>
          <w:lang w:val="en-US" w:eastAsia="fr-FR"/>
        </w:rPr>
      </w:pPr>
      <w:r w:rsidRPr="00052FFB">
        <w:rPr>
          <w:rFonts w:ascii="Arial" w:hAnsi="Arial" w:cs="Arial"/>
          <w:lang w:val="en-US" w:eastAsia="fr-FR"/>
        </w:rPr>
        <w:t xml:space="preserve">(1) Photothermal activatable mucoadhesive fiber mats for on-demand delivery of insulin via buccal and corneal mucosa. </w:t>
      </w:r>
      <w:proofErr w:type="spellStart"/>
      <w:r w:rsidRPr="00052FFB">
        <w:rPr>
          <w:rFonts w:ascii="Arial" w:hAnsi="Arial" w:cs="Arial"/>
          <w:lang w:val="en-US" w:eastAsia="fr-FR"/>
        </w:rPr>
        <w:t>Voronova</w:t>
      </w:r>
      <w:proofErr w:type="spellEnd"/>
      <w:r w:rsidRPr="00052FFB">
        <w:rPr>
          <w:rFonts w:ascii="Arial" w:hAnsi="Arial" w:cs="Arial"/>
          <w:lang w:val="en-US" w:eastAsia="fr-FR"/>
        </w:rPr>
        <w:t xml:space="preserve"> </w:t>
      </w:r>
      <w:r w:rsidRPr="00052FFB">
        <w:rPr>
          <w:rFonts w:ascii="Arial" w:hAnsi="Arial" w:cs="Arial"/>
          <w:i/>
          <w:iCs/>
          <w:lang w:val="en-US" w:eastAsia="fr-FR"/>
        </w:rPr>
        <w:t xml:space="preserve">et al., ACS Applied Bio Materials </w:t>
      </w:r>
      <w:r w:rsidRPr="00052FFB">
        <w:rPr>
          <w:rFonts w:ascii="Arial" w:hAnsi="Arial" w:cs="Arial"/>
          <w:lang w:val="en-US" w:eastAsia="fr-FR"/>
        </w:rPr>
        <w:t>5 (</w:t>
      </w:r>
      <w:r w:rsidRPr="00052FFB">
        <w:rPr>
          <w:rFonts w:ascii="Arial" w:hAnsi="Arial" w:cs="Arial"/>
          <w:b/>
          <w:bCs/>
          <w:lang w:val="en-US" w:eastAsia="fr-FR"/>
        </w:rPr>
        <w:t>2022</w:t>
      </w:r>
      <w:r w:rsidRPr="00052FFB">
        <w:rPr>
          <w:rFonts w:ascii="Arial" w:hAnsi="Arial" w:cs="Arial"/>
          <w:lang w:val="en-US" w:eastAsia="fr-FR"/>
        </w:rPr>
        <w:t>) 771-778</w:t>
      </w:r>
    </w:p>
    <w:p w14:paraId="642040B9" w14:textId="20C07A70" w:rsidR="00DC7F34" w:rsidRPr="00052FFB" w:rsidRDefault="00DC7F34" w:rsidP="00DC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" w:hAnsi="Arial" w:cs="Arial"/>
          <w:lang w:val="en-US"/>
        </w:rPr>
      </w:pPr>
      <w:r w:rsidRPr="00052FFB">
        <w:rPr>
          <w:rFonts w:ascii="Arial" w:hAnsi="Arial" w:cs="Arial"/>
          <w:lang w:val="en-US"/>
        </w:rPr>
        <w:t>(2) Innovative transdermal delivery of insulin using gelatin methacrylate-based Microneedle Patches in Mice and Mini-pigs</w:t>
      </w:r>
      <w:bookmarkStart w:id="1" w:name="_Hlk34144757"/>
      <w:r w:rsidRPr="00052FFB">
        <w:rPr>
          <w:rFonts w:ascii="Arial" w:hAnsi="Arial" w:cs="Arial"/>
          <w:lang w:val="en-US"/>
        </w:rPr>
        <w:t xml:space="preserve">. </w:t>
      </w:r>
      <w:r w:rsidRPr="00052FFB">
        <w:rPr>
          <w:rFonts w:ascii="Arial" w:hAnsi="Arial" w:cs="Arial"/>
          <w:lang w:val="pt-BR"/>
        </w:rPr>
        <w:t>Demir</w:t>
      </w:r>
      <w:bookmarkEnd w:id="1"/>
      <w:r w:rsidRPr="00052FFB">
        <w:rPr>
          <w:rFonts w:ascii="Arial" w:hAnsi="Arial" w:cs="Arial"/>
          <w:lang w:val="pt-BR"/>
        </w:rPr>
        <w:t xml:space="preserve"> iet al., </w:t>
      </w:r>
      <w:r w:rsidRPr="00052FFB">
        <w:rPr>
          <w:rFonts w:ascii="Arial" w:hAnsi="Arial" w:cs="Arial"/>
          <w:i/>
          <w:iCs/>
          <w:lang w:val="en-US"/>
        </w:rPr>
        <w:t xml:space="preserve">Nanoscale Horizons </w:t>
      </w:r>
      <w:r w:rsidRPr="00052FFB">
        <w:rPr>
          <w:rFonts w:ascii="Arial" w:hAnsi="Arial" w:cs="Arial"/>
          <w:lang w:val="en-US"/>
        </w:rPr>
        <w:t>7 (</w:t>
      </w:r>
      <w:r w:rsidRPr="00052FFB">
        <w:rPr>
          <w:rFonts w:ascii="Arial" w:hAnsi="Arial" w:cs="Arial"/>
          <w:b/>
          <w:bCs/>
          <w:lang w:val="en-US"/>
        </w:rPr>
        <w:t>2022</w:t>
      </w:r>
      <w:r w:rsidRPr="00052FFB">
        <w:rPr>
          <w:rFonts w:ascii="Arial" w:hAnsi="Arial" w:cs="Arial"/>
          <w:lang w:val="en-US"/>
        </w:rPr>
        <w:t xml:space="preserve">) 174-184, </w:t>
      </w:r>
      <w:r w:rsidRPr="00052FFB">
        <w:rPr>
          <w:rFonts w:ascii="Arial" w:hAnsi="Arial" w:cs="Arial"/>
          <w:b/>
          <w:bCs/>
          <w:color w:val="0000FF"/>
          <w:lang w:val="en-US"/>
        </w:rPr>
        <w:t>Cover Page</w:t>
      </w:r>
    </w:p>
    <w:p w14:paraId="445FD2BF" w14:textId="2BFE5775" w:rsidR="00DC7F34" w:rsidRPr="00052FFB" w:rsidRDefault="00DC7F34" w:rsidP="00DC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lang w:val="en-US" w:eastAsia="fr-FR"/>
        </w:rPr>
      </w:pPr>
      <w:bookmarkStart w:id="2" w:name="_Hlk64373334"/>
      <w:r w:rsidRPr="00052FFB">
        <w:rPr>
          <w:rFonts w:ascii="Arial" w:hAnsi="Arial" w:cs="Arial"/>
          <w:lang w:val="en-US" w:eastAsia="fr-FR"/>
        </w:rPr>
        <w:t>(3) Managing Diabetes using Nanotechnology: Present and Future Concepts</w:t>
      </w:r>
    </w:p>
    <w:p w14:paraId="2B24C58D" w14:textId="77777777" w:rsidR="00DC7F34" w:rsidRPr="00052FFB" w:rsidRDefault="00DC7F34" w:rsidP="00DC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" w:hAnsi="Arial" w:cs="Arial"/>
          <w:lang w:val="en-US" w:eastAsia="fr-FR"/>
        </w:rPr>
      </w:pPr>
      <w:proofErr w:type="spellStart"/>
      <w:r w:rsidRPr="00052FFB">
        <w:rPr>
          <w:rFonts w:ascii="Arial" w:hAnsi="Arial" w:cs="Arial"/>
          <w:lang w:val="en-US" w:eastAsia="fr-FR"/>
        </w:rPr>
        <w:t>Szunerits</w:t>
      </w:r>
      <w:proofErr w:type="spellEnd"/>
      <w:r w:rsidRPr="00052FFB">
        <w:rPr>
          <w:rFonts w:ascii="Arial" w:hAnsi="Arial" w:cs="Arial"/>
          <w:lang w:val="en-US" w:eastAsia="fr-FR"/>
        </w:rPr>
        <w:t xml:space="preserve"> </w:t>
      </w:r>
      <w:proofErr w:type="spellStart"/>
      <w:r w:rsidRPr="00052FFB">
        <w:rPr>
          <w:rFonts w:ascii="Arial" w:hAnsi="Arial" w:cs="Arial"/>
          <w:lang w:val="en-US" w:eastAsia="fr-FR"/>
        </w:rPr>
        <w:t>iet</w:t>
      </w:r>
      <w:proofErr w:type="spellEnd"/>
      <w:r w:rsidRPr="00052FFB">
        <w:rPr>
          <w:rFonts w:ascii="Arial" w:hAnsi="Arial" w:cs="Arial"/>
          <w:lang w:val="en-US" w:eastAsia="fr-FR"/>
        </w:rPr>
        <w:t xml:space="preserve"> al., </w:t>
      </w:r>
      <w:r w:rsidRPr="00052FFB">
        <w:rPr>
          <w:rFonts w:ascii="Arial" w:hAnsi="Arial" w:cs="Arial"/>
          <w:i/>
          <w:lang w:val="en-US"/>
        </w:rPr>
        <w:t xml:space="preserve">Chemical Society Reviews </w:t>
      </w:r>
      <w:r w:rsidRPr="00052FFB">
        <w:rPr>
          <w:rFonts w:ascii="Arial" w:hAnsi="Arial" w:cs="Arial"/>
          <w:lang w:val="en-US"/>
        </w:rPr>
        <w:t>50 (</w:t>
      </w:r>
      <w:r w:rsidRPr="00052FFB">
        <w:rPr>
          <w:rFonts w:ascii="Arial" w:hAnsi="Arial" w:cs="Arial"/>
          <w:b/>
          <w:lang w:val="en-US"/>
        </w:rPr>
        <w:t>2021</w:t>
      </w:r>
      <w:r w:rsidRPr="00052FFB">
        <w:rPr>
          <w:rFonts w:ascii="Arial" w:hAnsi="Arial" w:cs="Arial"/>
          <w:lang w:val="en-US"/>
        </w:rPr>
        <w:t>) 2102-2146</w:t>
      </w:r>
    </w:p>
    <w:p w14:paraId="3CBB75BC" w14:textId="302A1B53" w:rsidR="00DC7F34" w:rsidRPr="00052FFB" w:rsidRDefault="00DC7F34" w:rsidP="00DC7F34">
      <w:pPr>
        <w:spacing w:after="0" w:line="240" w:lineRule="auto"/>
        <w:jc w:val="both"/>
        <w:rPr>
          <w:rFonts w:ascii="Arial" w:hAnsi="Arial" w:cs="Arial"/>
          <w:lang w:val="en-US"/>
        </w:rPr>
      </w:pPr>
      <w:bookmarkStart w:id="3" w:name="_Hlk64373421"/>
      <w:bookmarkEnd w:id="2"/>
      <w:r w:rsidRPr="00052FFB">
        <w:rPr>
          <w:rFonts w:ascii="Arial" w:hAnsi="Arial" w:cs="Arial"/>
          <w:lang w:val="en-US"/>
        </w:rPr>
        <w:t>(4) Electrothermal patches driving the transdermal delivery of insulin</w:t>
      </w:r>
    </w:p>
    <w:p w14:paraId="7EA07A05" w14:textId="38B80D20" w:rsidR="00DC7F34" w:rsidRDefault="00DC7F34" w:rsidP="00DC7F34">
      <w:pPr>
        <w:spacing w:after="0" w:line="240" w:lineRule="auto"/>
        <w:jc w:val="both"/>
        <w:rPr>
          <w:rFonts w:ascii="Arial" w:hAnsi="Arial" w:cs="Arial"/>
          <w:b/>
          <w:color w:val="0000FF"/>
          <w:lang w:val="fr-FR"/>
        </w:rPr>
      </w:pPr>
      <w:proofErr w:type="spellStart"/>
      <w:r w:rsidRPr="00052FFB">
        <w:rPr>
          <w:rFonts w:ascii="Arial" w:hAnsi="Arial" w:cs="Arial"/>
          <w:lang w:val="fr-FR"/>
        </w:rPr>
        <w:t>Pagneux</w:t>
      </w:r>
      <w:proofErr w:type="spellEnd"/>
      <w:r w:rsidRPr="00052FFB">
        <w:rPr>
          <w:rFonts w:ascii="Arial" w:hAnsi="Arial" w:cs="Arial"/>
          <w:lang w:val="fr-FR"/>
        </w:rPr>
        <w:t xml:space="preserve"> </w:t>
      </w:r>
      <w:r w:rsidRPr="00052FFB">
        <w:rPr>
          <w:rFonts w:ascii="Arial" w:hAnsi="Arial" w:cs="Arial"/>
          <w:i/>
          <w:iCs/>
          <w:lang w:val="fr-FR"/>
        </w:rPr>
        <w:t>et al.</w:t>
      </w:r>
      <w:r w:rsidRPr="00052FFB">
        <w:rPr>
          <w:rFonts w:ascii="Arial" w:hAnsi="Arial" w:cs="Arial"/>
          <w:lang w:val="fr-FR"/>
        </w:rPr>
        <w:t xml:space="preserve">, </w:t>
      </w:r>
      <w:proofErr w:type="spellStart"/>
      <w:r w:rsidRPr="00052FFB">
        <w:rPr>
          <w:rFonts w:ascii="Arial" w:hAnsi="Arial" w:cs="Arial"/>
          <w:i/>
          <w:lang w:val="fr-FR"/>
        </w:rPr>
        <w:t>Nanoscale</w:t>
      </w:r>
      <w:proofErr w:type="spellEnd"/>
      <w:r w:rsidRPr="00052FFB">
        <w:rPr>
          <w:rFonts w:ascii="Arial" w:hAnsi="Arial" w:cs="Arial"/>
          <w:i/>
          <w:lang w:val="fr-FR"/>
        </w:rPr>
        <w:t xml:space="preserve"> Horizons </w:t>
      </w:r>
      <w:r w:rsidRPr="00052FFB">
        <w:rPr>
          <w:rFonts w:ascii="Arial" w:hAnsi="Arial" w:cs="Arial"/>
          <w:lang w:val="fr-FR"/>
        </w:rPr>
        <w:t>5 (</w:t>
      </w:r>
      <w:r w:rsidRPr="00052FFB">
        <w:rPr>
          <w:rFonts w:ascii="Arial" w:hAnsi="Arial" w:cs="Arial"/>
          <w:b/>
          <w:lang w:val="fr-FR"/>
        </w:rPr>
        <w:t>2020</w:t>
      </w:r>
      <w:r w:rsidRPr="00052FFB">
        <w:rPr>
          <w:rFonts w:ascii="Arial" w:hAnsi="Arial" w:cs="Arial"/>
          <w:lang w:val="fr-FR"/>
        </w:rPr>
        <w:t xml:space="preserve">) 663-670, </w:t>
      </w:r>
      <w:r w:rsidRPr="00052FFB">
        <w:rPr>
          <w:rFonts w:ascii="Arial" w:hAnsi="Arial" w:cs="Arial"/>
          <w:b/>
          <w:color w:val="0000FF"/>
          <w:lang w:val="fr-FR"/>
        </w:rPr>
        <w:t>Cover page</w:t>
      </w:r>
    </w:p>
    <w:p w14:paraId="5C1F984E" w14:textId="493FF13D" w:rsidR="00B62AD7" w:rsidRPr="00052FFB" w:rsidRDefault="00092CBF" w:rsidP="00092CBF">
      <w:pPr>
        <w:spacing w:after="0" w:line="240" w:lineRule="auto"/>
        <w:jc w:val="both"/>
        <w:rPr>
          <w:rFonts w:ascii="Arial" w:hAnsi="Arial" w:cs="Arial"/>
          <w:bCs/>
          <w:lang w:eastAsia="ja-JP"/>
        </w:rPr>
      </w:pPr>
      <w:r>
        <w:rPr>
          <w:rStyle w:val="markedcontent"/>
          <w:rFonts w:ascii="Arial" w:hAnsi="Arial" w:cs="Arial"/>
        </w:rPr>
        <w:t xml:space="preserve">(5) </w:t>
      </w:r>
      <w:r>
        <w:rPr>
          <w:rStyle w:val="markedcontent"/>
          <w:rFonts w:ascii="Arial" w:hAnsi="Arial" w:cs="Arial"/>
        </w:rPr>
        <w:t>Heat: A Highly efficient Skin</w:t>
      </w:r>
      <w:r>
        <w:t xml:space="preserve"> </w:t>
      </w:r>
      <w:r>
        <w:rPr>
          <w:rStyle w:val="markedcontent"/>
          <w:rFonts w:ascii="Arial" w:hAnsi="Arial" w:cs="Arial"/>
        </w:rPr>
        <w:t>enhancer for Transdermal</w:t>
      </w:r>
      <w:r>
        <w:t xml:space="preserve"> </w:t>
      </w:r>
      <w:r>
        <w:rPr>
          <w:rStyle w:val="markedcontent"/>
          <w:rFonts w:ascii="Arial" w:hAnsi="Arial" w:cs="Arial"/>
        </w:rPr>
        <w:t>Drug Delivery</w:t>
      </w:r>
      <w:r>
        <w:br/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Szunerits</w:t>
      </w:r>
      <w:proofErr w:type="spellEnd"/>
      <w:r>
        <w:rPr>
          <w:rFonts w:ascii="Arial" w:hAnsi="Arial" w:cs="Arial"/>
        </w:rPr>
        <w:t xml:space="preserve"> and 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Boukherroub</w:t>
      </w:r>
      <w:proofErr w:type="spellEnd"/>
      <w:r>
        <w:rPr>
          <w:rFonts w:ascii="Arial" w:hAnsi="Arial" w:cs="Arial"/>
        </w:rPr>
        <w:t xml:space="preserve">, </w:t>
      </w:r>
      <w:r w:rsidRPr="00092CBF">
        <w:rPr>
          <w:rFonts w:ascii="Arial" w:hAnsi="Arial" w:cs="Arial"/>
          <w:i/>
          <w:iCs/>
        </w:rPr>
        <w:t>Frontiers in Bioengineering and Biotechnology</w:t>
      </w:r>
      <w:r>
        <w:rPr>
          <w:rFonts w:ascii="Arial" w:hAnsi="Arial" w:cs="Arial"/>
        </w:rPr>
        <w:t xml:space="preserve"> 6 (2018) </w:t>
      </w:r>
      <w:r>
        <w:rPr>
          <w:rFonts w:ascii="Arial" w:hAnsi="Arial" w:cs="Arial"/>
        </w:rPr>
        <w:t>151</w:t>
      </w:r>
      <w:r>
        <w:br/>
      </w:r>
      <w:bookmarkStart w:id="4" w:name="_Hlk54861378"/>
      <w:bookmarkEnd w:id="3"/>
      <w:r w:rsidR="00B62AD7" w:rsidRPr="00052FFB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6</w:t>
      </w:r>
      <w:r w:rsidR="00B62AD7" w:rsidRPr="00052FFB">
        <w:rPr>
          <w:rFonts w:ascii="Arial" w:hAnsi="Arial" w:cs="Arial"/>
          <w:bCs/>
        </w:rPr>
        <w:t xml:space="preserve">) Photothermally triggered On-Demand Insulin Release from Reduced Graphene Oxide </w:t>
      </w:r>
      <w:r w:rsidR="00B62AD7" w:rsidRPr="00052FFB">
        <w:rPr>
          <w:rFonts w:ascii="Arial" w:hAnsi="Arial" w:cs="Arial"/>
        </w:rPr>
        <w:t xml:space="preserve">modified </w:t>
      </w:r>
      <w:r w:rsidR="00B62AD7" w:rsidRPr="00052FFB">
        <w:rPr>
          <w:rFonts w:ascii="Arial" w:hAnsi="Arial" w:cs="Arial"/>
          <w:bCs/>
        </w:rPr>
        <w:t xml:space="preserve">Hydrogels </w:t>
      </w:r>
    </w:p>
    <w:p w14:paraId="61567E4E" w14:textId="7D355C07" w:rsidR="00DC7F34" w:rsidRPr="00052FFB" w:rsidRDefault="00B62AD7" w:rsidP="003D4BCB">
      <w:pPr>
        <w:pStyle w:val="Author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2FFB">
        <w:rPr>
          <w:rFonts w:ascii="Arial" w:hAnsi="Arial" w:cs="Arial"/>
          <w:sz w:val="22"/>
          <w:szCs w:val="22"/>
          <w:lang w:val="de-DE"/>
        </w:rPr>
        <w:t>Teodorescu</w:t>
      </w:r>
      <w:proofErr w:type="spellEnd"/>
      <w:r w:rsidRPr="00052FFB">
        <w:rPr>
          <w:rFonts w:ascii="Arial" w:hAnsi="Arial" w:cs="Arial"/>
          <w:i/>
          <w:iCs/>
          <w:sz w:val="22"/>
          <w:szCs w:val="22"/>
          <w:lang w:val="de-DE"/>
        </w:rPr>
        <w:t xml:space="preserve"> et al., </w:t>
      </w:r>
      <w:r w:rsidRPr="00052FFB">
        <w:rPr>
          <w:rFonts w:ascii="Arial" w:hAnsi="Arial" w:cs="Arial"/>
          <w:i/>
          <w:sz w:val="22"/>
          <w:szCs w:val="22"/>
        </w:rPr>
        <w:t>Journal of Controlled Release</w:t>
      </w:r>
      <w:r w:rsidRPr="00052FFB">
        <w:rPr>
          <w:rFonts w:ascii="Arial" w:hAnsi="Arial" w:cs="Arial"/>
          <w:sz w:val="22"/>
          <w:szCs w:val="22"/>
        </w:rPr>
        <w:t xml:space="preserve"> 246 (</w:t>
      </w:r>
      <w:r w:rsidRPr="00052FFB">
        <w:rPr>
          <w:rFonts w:ascii="Arial" w:hAnsi="Arial" w:cs="Arial"/>
          <w:b/>
          <w:sz w:val="22"/>
          <w:szCs w:val="22"/>
        </w:rPr>
        <w:t>2017</w:t>
      </w:r>
      <w:r w:rsidRPr="00052FFB">
        <w:rPr>
          <w:rFonts w:ascii="Arial" w:hAnsi="Arial" w:cs="Arial"/>
          <w:sz w:val="22"/>
          <w:szCs w:val="22"/>
        </w:rPr>
        <w:t>) 164–173</w:t>
      </w:r>
      <w:bookmarkEnd w:id="4"/>
    </w:p>
    <w:sectPr w:rsidR="00DC7F34" w:rsidRPr="00052FFB" w:rsidSect="000566EE">
      <w:footerReference w:type="default" r:id="rId8"/>
      <w:pgSz w:w="11906" w:h="16838"/>
      <w:pgMar w:top="1417" w:right="1417" w:bottom="1417" w:left="1417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17C6C" w14:textId="77777777" w:rsidR="00E941D6" w:rsidRDefault="00E941D6">
      <w:pPr>
        <w:spacing w:after="0" w:line="240" w:lineRule="auto"/>
      </w:pPr>
      <w:r>
        <w:separator/>
      </w:r>
    </w:p>
  </w:endnote>
  <w:endnote w:type="continuationSeparator" w:id="0">
    <w:p w14:paraId="6411BE95" w14:textId="77777777" w:rsidR="00E941D6" w:rsidRDefault="00E9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itstream Vera Sans">
    <w:altName w:val="Malgun Gothic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534A" w14:textId="77777777" w:rsidR="003A3E6E" w:rsidRDefault="003A3E6E" w:rsidP="003A3E6E">
    <w:pPr>
      <w:pStyle w:val="Pieddepage"/>
      <w:tabs>
        <w:tab w:val="left" w:pos="0"/>
      </w:tabs>
      <w:ind w:hanging="720"/>
    </w:pPr>
  </w:p>
  <w:p w14:paraId="50F01D1E" w14:textId="77777777" w:rsidR="005E3A0A" w:rsidRDefault="005E3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D678D" w14:textId="77777777" w:rsidR="00E941D6" w:rsidRDefault="00E941D6">
      <w:pPr>
        <w:spacing w:after="0" w:line="240" w:lineRule="auto"/>
      </w:pPr>
      <w:r>
        <w:separator/>
      </w:r>
    </w:p>
  </w:footnote>
  <w:footnote w:type="continuationSeparator" w:id="0">
    <w:p w14:paraId="7B4CC3EE" w14:textId="77777777" w:rsidR="00E941D6" w:rsidRDefault="00E9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838AD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6" w:hanging="360"/>
      </w:pPr>
      <w:rPr>
        <w:rFonts w:ascii="Times New Roman" w:hAnsi="Times New Roman" w:cs="Times New Roman"/>
        <w:i/>
        <w:iCs/>
        <w:sz w:val="16"/>
        <w:szCs w:val="16"/>
        <w:lang w:val="en-IN" w:eastAsia="en-IN"/>
      </w:rPr>
    </w:lvl>
  </w:abstractNum>
  <w:abstractNum w:abstractNumId="2" w15:restartNumberingAfterBreak="0">
    <w:nsid w:val="15CF4F65"/>
    <w:multiLevelType w:val="hybridMultilevel"/>
    <w:tmpl w:val="77A6B954"/>
    <w:lvl w:ilvl="0" w:tplc="6CFEE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74840"/>
    <w:multiLevelType w:val="hybridMultilevel"/>
    <w:tmpl w:val="01D82A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42C98"/>
    <w:multiLevelType w:val="hybridMultilevel"/>
    <w:tmpl w:val="2F54367C"/>
    <w:lvl w:ilvl="0" w:tplc="9432E47C">
      <w:start w:val="1"/>
      <w:numFmt w:val="decimal"/>
      <w:lvlText w:val="%1)"/>
      <w:lvlJc w:val="left"/>
      <w:pPr>
        <w:ind w:left="-2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56" w:hanging="360"/>
      </w:pPr>
    </w:lvl>
    <w:lvl w:ilvl="2" w:tplc="4009001B" w:tentative="1">
      <w:start w:val="1"/>
      <w:numFmt w:val="lowerRoman"/>
      <w:lvlText w:val="%3."/>
      <w:lvlJc w:val="right"/>
      <w:pPr>
        <w:ind w:left="1176" w:hanging="180"/>
      </w:pPr>
    </w:lvl>
    <w:lvl w:ilvl="3" w:tplc="4009000F" w:tentative="1">
      <w:start w:val="1"/>
      <w:numFmt w:val="decimal"/>
      <w:lvlText w:val="%4."/>
      <w:lvlJc w:val="left"/>
      <w:pPr>
        <w:ind w:left="1896" w:hanging="360"/>
      </w:pPr>
    </w:lvl>
    <w:lvl w:ilvl="4" w:tplc="40090019" w:tentative="1">
      <w:start w:val="1"/>
      <w:numFmt w:val="lowerLetter"/>
      <w:lvlText w:val="%5."/>
      <w:lvlJc w:val="left"/>
      <w:pPr>
        <w:ind w:left="2616" w:hanging="360"/>
      </w:pPr>
    </w:lvl>
    <w:lvl w:ilvl="5" w:tplc="4009001B" w:tentative="1">
      <w:start w:val="1"/>
      <w:numFmt w:val="lowerRoman"/>
      <w:lvlText w:val="%6."/>
      <w:lvlJc w:val="right"/>
      <w:pPr>
        <w:ind w:left="3336" w:hanging="180"/>
      </w:pPr>
    </w:lvl>
    <w:lvl w:ilvl="6" w:tplc="4009000F" w:tentative="1">
      <w:start w:val="1"/>
      <w:numFmt w:val="decimal"/>
      <w:lvlText w:val="%7."/>
      <w:lvlJc w:val="left"/>
      <w:pPr>
        <w:ind w:left="4056" w:hanging="360"/>
      </w:pPr>
    </w:lvl>
    <w:lvl w:ilvl="7" w:tplc="40090019" w:tentative="1">
      <w:start w:val="1"/>
      <w:numFmt w:val="lowerLetter"/>
      <w:lvlText w:val="%8."/>
      <w:lvlJc w:val="left"/>
      <w:pPr>
        <w:ind w:left="4776" w:hanging="360"/>
      </w:pPr>
    </w:lvl>
    <w:lvl w:ilvl="8" w:tplc="40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 w15:restartNumberingAfterBreak="0">
    <w:nsid w:val="55CB1A0D"/>
    <w:multiLevelType w:val="hybridMultilevel"/>
    <w:tmpl w:val="9D5692A2"/>
    <w:lvl w:ilvl="0" w:tplc="DCBA5DEE">
      <w:start w:val="1"/>
      <w:numFmt w:val="decimal"/>
      <w:pStyle w:val="Tableofcontents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6349"/>
    <w:multiLevelType w:val="hybridMultilevel"/>
    <w:tmpl w:val="228469D0"/>
    <w:lvl w:ilvl="0" w:tplc="D0D40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D5"/>
    <w:rsid w:val="00010F62"/>
    <w:rsid w:val="000240E5"/>
    <w:rsid w:val="0003167A"/>
    <w:rsid w:val="00052FFB"/>
    <w:rsid w:val="000539ED"/>
    <w:rsid w:val="00055BD6"/>
    <w:rsid w:val="000566EE"/>
    <w:rsid w:val="0006261F"/>
    <w:rsid w:val="00086C59"/>
    <w:rsid w:val="00091286"/>
    <w:rsid w:val="00092CBF"/>
    <w:rsid w:val="000A0D49"/>
    <w:rsid w:val="000E570F"/>
    <w:rsid w:val="00116733"/>
    <w:rsid w:val="0012063E"/>
    <w:rsid w:val="00122D4C"/>
    <w:rsid w:val="0016319D"/>
    <w:rsid w:val="001855C1"/>
    <w:rsid w:val="001B3771"/>
    <w:rsid w:val="001C7AA8"/>
    <w:rsid w:val="00202181"/>
    <w:rsid w:val="0020502F"/>
    <w:rsid w:val="00221E1D"/>
    <w:rsid w:val="00264F16"/>
    <w:rsid w:val="00277E4C"/>
    <w:rsid w:val="002B2234"/>
    <w:rsid w:val="002C1A57"/>
    <w:rsid w:val="002D51DF"/>
    <w:rsid w:val="002F74A4"/>
    <w:rsid w:val="00322749"/>
    <w:rsid w:val="00335DF3"/>
    <w:rsid w:val="003374E3"/>
    <w:rsid w:val="00346E37"/>
    <w:rsid w:val="003610B8"/>
    <w:rsid w:val="00375433"/>
    <w:rsid w:val="003A0D85"/>
    <w:rsid w:val="003A3E6E"/>
    <w:rsid w:val="003A7E56"/>
    <w:rsid w:val="003B24F0"/>
    <w:rsid w:val="003B6200"/>
    <w:rsid w:val="003C3CFB"/>
    <w:rsid w:val="003D373A"/>
    <w:rsid w:val="003D4BCB"/>
    <w:rsid w:val="003F308A"/>
    <w:rsid w:val="003F3C15"/>
    <w:rsid w:val="003F61E7"/>
    <w:rsid w:val="003F74ED"/>
    <w:rsid w:val="003F7C24"/>
    <w:rsid w:val="00450A06"/>
    <w:rsid w:val="004569B3"/>
    <w:rsid w:val="00470A69"/>
    <w:rsid w:val="00471E5D"/>
    <w:rsid w:val="00490AD3"/>
    <w:rsid w:val="00495E6A"/>
    <w:rsid w:val="004D5A61"/>
    <w:rsid w:val="00522E8A"/>
    <w:rsid w:val="005440EC"/>
    <w:rsid w:val="0057317C"/>
    <w:rsid w:val="005843D5"/>
    <w:rsid w:val="00587B3C"/>
    <w:rsid w:val="005A61AC"/>
    <w:rsid w:val="005B6BB0"/>
    <w:rsid w:val="005D210E"/>
    <w:rsid w:val="005E3A0A"/>
    <w:rsid w:val="005F2FBA"/>
    <w:rsid w:val="00601CF7"/>
    <w:rsid w:val="00631587"/>
    <w:rsid w:val="00640565"/>
    <w:rsid w:val="00642B92"/>
    <w:rsid w:val="00652856"/>
    <w:rsid w:val="00685F2A"/>
    <w:rsid w:val="00695A3B"/>
    <w:rsid w:val="006A4DAD"/>
    <w:rsid w:val="006A5C32"/>
    <w:rsid w:val="006A7CB8"/>
    <w:rsid w:val="006E61BE"/>
    <w:rsid w:val="006F0524"/>
    <w:rsid w:val="00715D23"/>
    <w:rsid w:val="00732A46"/>
    <w:rsid w:val="0077142A"/>
    <w:rsid w:val="00774B23"/>
    <w:rsid w:val="007A08A5"/>
    <w:rsid w:val="007A4629"/>
    <w:rsid w:val="007B1A73"/>
    <w:rsid w:val="007B3054"/>
    <w:rsid w:val="007C06EE"/>
    <w:rsid w:val="007E65D4"/>
    <w:rsid w:val="007F2E6E"/>
    <w:rsid w:val="00836E93"/>
    <w:rsid w:val="00855032"/>
    <w:rsid w:val="008609F8"/>
    <w:rsid w:val="008677CA"/>
    <w:rsid w:val="00871D70"/>
    <w:rsid w:val="0090106C"/>
    <w:rsid w:val="00930662"/>
    <w:rsid w:val="00934452"/>
    <w:rsid w:val="009439E1"/>
    <w:rsid w:val="0097655F"/>
    <w:rsid w:val="009C2197"/>
    <w:rsid w:val="00A017AF"/>
    <w:rsid w:val="00A0745D"/>
    <w:rsid w:val="00A21F8B"/>
    <w:rsid w:val="00A57559"/>
    <w:rsid w:val="00A6249F"/>
    <w:rsid w:val="00A77ADF"/>
    <w:rsid w:val="00A94732"/>
    <w:rsid w:val="00A96894"/>
    <w:rsid w:val="00A9747E"/>
    <w:rsid w:val="00AB1705"/>
    <w:rsid w:val="00AE0956"/>
    <w:rsid w:val="00B0508C"/>
    <w:rsid w:val="00B140A2"/>
    <w:rsid w:val="00B42A9B"/>
    <w:rsid w:val="00B44065"/>
    <w:rsid w:val="00B62AD7"/>
    <w:rsid w:val="00B8585A"/>
    <w:rsid w:val="00B9160F"/>
    <w:rsid w:val="00BE7595"/>
    <w:rsid w:val="00C4301A"/>
    <w:rsid w:val="00C47C96"/>
    <w:rsid w:val="00C7772B"/>
    <w:rsid w:val="00C845C4"/>
    <w:rsid w:val="00C84813"/>
    <w:rsid w:val="00CD25FB"/>
    <w:rsid w:val="00CF6DD8"/>
    <w:rsid w:val="00D0232E"/>
    <w:rsid w:val="00D023C1"/>
    <w:rsid w:val="00D355FE"/>
    <w:rsid w:val="00D44543"/>
    <w:rsid w:val="00D507B0"/>
    <w:rsid w:val="00D53A94"/>
    <w:rsid w:val="00D53BCA"/>
    <w:rsid w:val="00D67CB5"/>
    <w:rsid w:val="00D71521"/>
    <w:rsid w:val="00D741E2"/>
    <w:rsid w:val="00D92611"/>
    <w:rsid w:val="00D93E2F"/>
    <w:rsid w:val="00DA52C6"/>
    <w:rsid w:val="00DA58DD"/>
    <w:rsid w:val="00DC113A"/>
    <w:rsid w:val="00DC7F34"/>
    <w:rsid w:val="00DF6BD5"/>
    <w:rsid w:val="00E126F1"/>
    <w:rsid w:val="00E32F57"/>
    <w:rsid w:val="00E34B9A"/>
    <w:rsid w:val="00E35129"/>
    <w:rsid w:val="00E45D31"/>
    <w:rsid w:val="00E572BC"/>
    <w:rsid w:val="00E6419C"/>
    <w:rsid w:val="00E651D2"/>
    <w:rsid w:val="00E77A47"/>
    <w:rsid w:val="00E81A58"/>
    <w:rsid w:val="00E83D08"/>
    <w:rsid w:val="00E941D6"/>
    <w:rsid w:val="00EA017E"/>
    <w:rsid w:val="00EB31FA"/>
    <w:rsid w:val="00EB326E"/>
    <w:rsid w:val="00F02F90"/>
    <w:rsid w:val="00F40216"/>
    <w:rsid w:val="00F41157"/>
    <w:rsid w:val="00F56DA4"/>
    <w:rsid w:val="00F71D06"/>
    <w:rsid w:val="00FC0C39"/>
    <w:rsid w:val="00FD03EB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BFAE4D"/>
  <w15:chartTrackingRefBased/>
  <w15:docId w15:val="{60FC1C2E-572E-42D4-8B52-B68B0E50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E126F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i/>
      <w:iCs/>
      <w:sz w:val="16"/>
      <w:szCs w:val="16"/>
      <w:lang w:val="en-IN" w:eastAsia="en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en-US" w:eastAsia="ja-JP"/>
    </w:rPr>
  </w:style>
  <w:style w:type="character" w:customStyle="1" w:styleId="HeaderChar">
    <w:name w:val="Header Char"/>
    <w:basedOn w:val="Policepardfaut"/>
  </w:style>
  <w:style w:type="character" w:customStyle="1" w:styleId="FooterChar">
    <w:name w:val="Footer Cha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Accentuation">
    <w:name w:val="Emphasis"/>
    <w:qFormat/>
    <w:rPr>
      <w:i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IAuthorAddressDetails">
    <w:name w:val="NI Author Address Details"/>
    <w:pPr>
      <w:suppressAutoHyphens/>
      <w:jc w:val="center"/>
    </w:pPr>
    <w:rPr>
      <w:rFonts w:eastAsia="BatangChe"/>
      <w:i/>
      <w:lang w:val="en-GB" w:eastAsia="ja-JP" w:bidi="he-IL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Sansinterligne">
    <w:name w:val="No Spacing"/>
    <w:qFormat/>
    <w:pPr>
      <w:suppressAutoHyphens/>
    </w:pPr>
    <w:rPr>
      <w:rFonts w:ascii="Calibri" w:eastAsia="Calibri" w:hAnsi="Calibri" w:cs="Mangal"/>
      <w:sz w:val="22"/>
      <w:szCs w:val="22"/>
      <w:lang w:val="en-US" w:eastAsia="zh-CN"/>
    </w:rPr>
  </w:style>
  <w:style w:type="paragraph" w:customStyle="1" w:styleId="Absbox">
    <w:name w:val="Absbox"/>
    <w:basedOn w:val="Normal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before="200" w:after="320" w:line="220" w:lineRule="exact"/>
      <w:ind w:left="86" w:right="130"/>
      <w:jc w:val="center"/>
    </w:pPr>
    <w:rPr>
      <w:rFonts w:ascii="Helvetica" w:eastAsia="Times New Roman" w:hAnsi="Helvetica"/>
      <w:b/>
      <w:color w:val="FFFFFF"/>
      <w:sz w:val="20"/>
      <w:szCs w:val="20"/>
      <w:lang w:val="en-US" w:eastAsia="ja-JP"/>
    </w:rPr>
  </w:style>
  <w:style w:type="paragraph" w:customStyle="1" w:styleId="SNSynopsisTOC">
    <w:name w:val="SN_Synopsis_TOC"/>
    <w:basedOn w:val="Normal"/>
    <w:pPr>
      <w:spacing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link w:val="Titre1"/>
    <w:uiPriority w:val="9"/>
    <w:rsid w:val="00E126F1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zh-CN"/>
    </w:rPr>
  </w:style>
  <w:style w:type="paragraph" w:customStyle="1" w:styleId="BCAuthorAddress">
    <w:name w:val="BC_Author_Address"/>
    <w:basedOn w:val="Normal"/>
    <w:next w:val="Normal"/>
    <w:autoRedefine/>
    <w:rsid w:val="003D4BCB"/>
    <w:pPr>
      <w:suppressAutoHyphens w:val="0"/>
      <w:spacing w:after="0"/>
      <w:jc w:val="center"/>
    </w:pPr>
    <w:rPr>
      <w:rFonts w:ascii="Arial" w:eastAsia="Times New Roman" w:hAnsi="Arial" w:cs="Arial"/>
      <w:kern w:val="22"/>
      <w:sz w:val="24"/>
      <w:szCs w:val="24"/>
      <w:lang w:val="fr-FR" w:eastAsia="en-US"/>
    </w:rPr>
  </w:style>
  <w:style w:type="paragraph" w:customStyle="1" w:styleId="Author">
    <w:name w:val="Author"/>
    <w:basedOn w:val="Normal"/>
    <w:next w:val="Normal"/>
    <w:uiPriority w:val="99"/>
    <w:rsid w:val="00B62AD7"/>
    <w:pPr>
      <w:widowControl w:val="0"/>
      <w:spacing w:before="113" w:after="0" w:line="200" w:lineRule="atLeast"/>
      <w:jc w:val="center"/>
    </w:pPr>
    <w:rPr>
      <w:rFonts w:ascii="Nimbus Roman No9 L" w:eastAsia="Bitstream Vera Sans" w:hAnsi="Nimbus Roman No9 L"/>
      <w:sz w:val="24"/>
      <w:szCs w:val="20"/>
      <w:lang w:val="en-US" w:eastAsia="en-US"/>
    </w:rPr>
  </w:style>
  <w:style w:type="paragraph" w:customStyle="1" w:styleId="Tableofcontents">
    <w:name w:val="Table of contents"/>
    <w:basedOn w:val="Normal"/>
    <w:autoRedefine/>
    <w:rsid w:val="00B62AD7"/>
    <w:pPr>
      <w:numPr>
        <w:numId w:val="6"/>
      </w:numPr>
      <w:suppressAutoHyphens w:val="0"/>
      <w:spacing w:after="0" w:line="240" w:lineRule="auto"/>
    </w:pPr>
    <w:rPr>
      <w:rFonts w:ascii="Times New Roman" w:eastAsia="MS Mincho" w:hAnsi="Times New Roman"/>
      <w:lang w:eastAsia="en-GB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62AD7"/>
    <w:rPr>
      <w:rFonts w:ascii="Calibri" w:eastAsia="Calibri" w:hAnsi="Calibri"/>
      <w:sz w:val="22"/>
      <w:szCs w:val="22"/>
      <w:lang w:val="en-GB" w:eastAsia="zh-CN"/>
    </w:rPr>
  </w:style>
  <w:style w:type="paragraph" w:customStyle="1" w:styleId="papertitle">
    <w:name w:val="paper title"/>
    <w:rsid w:val="003A0D85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character" w:customStyle="1" w:styleId="markedcontent">
    <w:name w:val="markedcontent"/>
    <w:basedOn w:val="Policepardfaut"/>
    <w:rsid w:val="000566EE"/>
  </w:style>
  <w:style w:type="character" w:styleId="Mentionnonrsolue">
    <w:name w:val="Unresolved Mention"/>
    <w:basedOn w:val="Policepardfaut"/>
    <w:uiPriority w:val="99"/>
    <w:semiHidden/>
    <w:unhideWhenUsed/>
    <w:rsid w:val="0009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bah.boukherroub@univ-l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conference-abstract-template</vt:lpstr>
      <vt:lpstr>conference-abstract-template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conference-abstract-template</dc:title>
  <dc:subject/>
  <dc:creator>rabah</dc:creator>
  <cp:keywords>conference-abstract-template</cp:keywords>
  <cp:lastModifiedBy>rabah.boukherroub</cp:lastModifiedBy>
  <cp:revision>7</cp:revision>
  <cp:lastPrinted>1899-12-31T23:00:00Z</cp:lastPrinted>
  <dcterms:created xsi:type="dcterms:W3CDTF">2023-03-27T14:18:00Z</dcterms:created>
  <dcterms:modified xsi:type="dcterms:W3CDTF">2023-03-27T14:45:00Z</dcterms:modified>
</cp:coreProperties>
</file>