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1A8" w:rsidRPr="003949BB" w:rsidRDefault="00F637F6" w:rsidP="00F637F6">
      <w:pPr>
        <w:autoSpaceDE w:val="0"/>
        <w:autoSpaceDN w:val="0"/>
        <w:adjustRightInd w:val="0"/>
        <w:jc w:val="center"/>
        <w:rPr>
          <w:sz w:val="28"/>
          <w:szCs w:val="28"/>
        </w:rPr>
      </w:pPr>
      <w:r>
        <w:rPr>
          <w:b/>
          <w:sz w:val="28"/>
          <w:szCs w:val="28"/>
        </w:rPr>
        <w:t>S</w:t>
      </w:r>
      <w:r w:rsidR="007E137A">
        <w:rPr>
          <w:b/>
          <w:sz w:val="28"/>
          <w:szCs w:val="28"/>
        </w:rPr>
        <w:t>urface recom</w:t>
      </w:r>
      <w:r w:rsidR="00D06DBD">
        <w:rPr>
          <w:b/>
          <w:sz w:val="28"/>
          <w:szCs w:val="28"/>
        </w:rPr>
        <w:t>bination influence on photocurrent spectra of</w:t>
      </w:r>
      <w:r w:rsidR="00F7691C">
        <w:rPr>
          <w:b/>
          <w:sz w:val="28"/>
          <w:szCs w:val="28"/>
        </w:rPr>
        <w:t xml:space="preserve"> </w:t>
      </w:r>
      <w:bookmarkStart w:id="0" w:name="_GoBack"/>
      <w:bookmarkEnd w:id="0"/>
      <w:r w:rsidR="00D06DBD">
        <w:rPr>
          <w:b/>
          <w:sz w:val="28"/>
          <w:szCs w:val="28"/>
        </w:rPr>
        <w:t>organic</w:t>
      </w:r>
      <w:r w:rsidR="007E137A">
        <w:rPr>
          <w:b/>
          <w:sz w:val="28"/>
          <w:szCs w:val="28"/>
        </w:rPr>
        <w:t xml:space="preserve"> photovoltaic</w:t>
      </w:r>
      <w:r w:rsidR="00D06DBD">
        <w:rPr>
          <w:b/>
          <w:sz w:val="28"/>
          <w:szCs w:val="28"/>
        </w:rPr>
        <w:t xml:space="preserve"> devices</w:t>
      </w:r>
    </w:p>
    <w:p w:rsidR="00F931A8" w:rsidRDefault="00F931A8" w:rsidP="002344D6">
      <w:pPr>
        <w:autoSpaceDE w:val="0"/>
        <w:autoSpaceDN w:val="0"/>
        <w:adjustRightInd w:val="0"/>
        <w:jc w:val="center"/>
        <w:rPr>
          <w:sz w:val="22"/>
          <w:szCs w:val="22"/>
        </w:rPr>
      </w:pPr>
    </w:p>
    <w:p w:rsidR="00E9551C" w:rsidRPr="0091754E" w:rsidRDefault="00E9551C" w:rsidP="006A48FC">
      <w:pPr>
        <w:autoSpaceDE w:val="0"/>
        <w:autoSpaceDN w:val="0"/>
        <w:adjustRightInd w:val="0"/>
        <w:jc w:val="center"/>
        <w:rPr>
          <w:sz w:val="22"/>
          <w:szCs w:val="22"/>
        </w:rPr>
      </w:pPr>
      <w:r w:rsidRPr="00A946B2">
        <w:rPr>
          <w:rStyle w:val="fontstyle01"/>
          <w:rFonts w:ascii="Times New Roman" w:hAnsi="Times New Roman"/>
          <w:u w:val="single"/>
        </w:rPr>
        <w:t>Ali R. Khalf</w:t>
      </w:r>
      <w:r w:rsidRPr="00A946B2">
        <w:rPr>
          <w:sz w:val="16"/>
          <w:szCs w:val="16"/>
          <w:u w:val="single"/>
          <w:vertAlign w:val="superscript"/>
        </w:rPr>
        <w:t>1</w:t>
      </w:r>
      <w:r w:rsidRPr="0091754E">
        <w:rPr>
          <w:rStyle w:val="fontstyle01"/>
          <w:rFonts w:ascii="Times New Roman" w:hAnsi="Times New Roman"/>
        </w:rPr>
        <w:t>, Jovana P. Gojanović</w:t>
      </w:r>
      <w:r w:rsidRPr="0091754E">
        <w:rPr>
          <w:sz w:val="16"/>
          <w:szCs w:val="16"/>
          <w:vertAlign w:val="superscript"/>
        </w:rPr>
        <w:t>1</w:t>
      </w:r>
      <w:r w:rsidRPr="0091754E">
        <w:rPr>
          <w:rStyle w:val="fontstyle01"/>
          <w:rFonts w:ascii="Times New Roman" w:hAnsi="Times New Roman"/>
        </w:rPr>
        <w:t>, Sandra Živanović</w:t>
      </w:r>
      <w:r w:rsidRPr="0091754E">
        <w:rPr>
          <w:sz w:val="16"/>
          <w:szCs w:val="16"/>
          <w:vertAlign w:val="superscript"/>
        </w:rPr>
        <w:t>2</w:t>
      </w:r>
    </w:p>
    <w:p w:rsidR="00CC429D" w:rsidRPr="00F931A8" w:rsidRDefault="00CC429D" w:rsidP="00E9551C">
      <w:pPr>
        <w:autoSpaceDE w:val="0"/>
        <w:autoSpaceDN w:val="0"/>
        <w:adjustRightInd w:val="0"/>
        <w:jc w:val="center"/>
        <w:rPr>
          <w:i/>
          <w:iCs/>
          <w:sz w:val="20"/>
          <w:szCs w:val="20"/>
        </w:rPr>
      </w:pPr>
      <w:r w:rsidRPr="00F931A8">
        <w:rPr>
          <w:sz w:val="14"/>
          <w:szCs w:val="14"/>
          <w:vertAlign w:val="superscript"/>
        </w:rPr>
        <w:t>1</w:t>
      </w:r>
      <w:r w:rsidR="005E0E65" w:rsidRPr="00F931A8">
        <w:rPr>
          <w:i/>
          <w:iCs/>
          <w:sz w:val="20"/>
          <w:szCs w:val="20"/>
        </w:rPr>
        <w:t>School of Electrical Engineering,</w:t>
      </w:r>
      <w:r w:rsidRPr="00F931A8">
        <w:rPr>
          <w:i/>
          <w:iCs/>
          <w:sz w:val="20"/>
          <w:szCs w:val="20"/>
        </w:rPr>
        <w:t>University of Belgrade, Serbia</w:t>
      </w:r>
    </w:p>
    <w:p w:rsidR="00CC429D" w:rsidRPr="00E9551C" w:rsidRDefault="006A48FC" w:rsidP="00E9551C">
      <w:pPr>
        <w:autoSpaceDE w:val="0"/>
        <w:autoSpaceDN w:val="0"/>
        <w:adjustRightInd w:val="0"/>
        <w:jc w:val="center"/>
        <w:rPr>
          <w:i/>
          <w:iCs/>
          <w:sz w:val="20"/>
          <w:szCs w:val="20"/>
        </w:rPr>
      </w:pPr>
      <w:r>
        <w:rPr>
          <w:sz w:val="14"/>
          <w:szCs w:val="14"/>
          <w:vertAlign w:val="superscript"/>
        </w:rPr>
        <w:t>2</w:t>
      </w:r>
      <w:r w:rsidR="00E9551C" w:rsidRPr="00E9551C">
        <w:rPr>
          <w:i/>
          <w:iCs/>
          <w:color w:val="000000"/>
          <w:sz w:val="20"/>
          <w:szCs w:val="20"/>
        </w:rPr>
        <w:t>Institute for Micromanufacturing, Louisiana Tech University, Ruston, LA 71272, USA</w:t>
      </w:r>
    </w:p>
    <w:p w:rsidR="00CC429D" w:rsidRPr="003949BB" w:rsidRDefault="004E3764" w:rsidP="00441182">
      <w:pPr>
        <w:autoSpaceDE w:val="0"/>
        <w:autoSpaceDN w:val="0"/>
        <w:adjustRightInd w:val="0"/>
        <w:jc w:val="center"/>
        <w:rPr>
          <w:sz w:val="20"/>
          <w:szCs w:val="20"/>
        </w:rPr>
      </w:pPr>
      <w:r>
        <w:rPr>
          <w:sz w:val="20"/>
          <w:szCs w:val="20"/>
        </w:rPr>
        <w:t>e</w:t>
      </w:r>
      <w:r w:rsidR="00CC429D" w:rsidRPr="00F931A8">
        <w:rPr>
          <w:sz w:val="20"/>
          <w:szCs w:val="20"/>
        </w:rPr>
        <w:t>-mail:</w:t>
      </w:r>
      <w:r w:rsidR="00441182" w:rsidRPr="00441182">
        <w:rPr>
          <w:sz w:val="20"/>
          <w:szCs w:val="20"/>
        </w:rPr>
        <w:t xml:space="preserve"> alirkhalf@yahoo.com</w:t>
      </w:r>
    </w:p>
    <w:p w:rsidR="003E0534" w:rsidRDefault="003E0534" w:rsidP="00933B5B">
      <w:pPr>
        <w:autoSpaceDE w:val="0"/>
        <w:autoSpaceDN w:val="0"/>
        <w:adjustRightInd w:val="0"/>
        <w:ind w:firstLine="284"/>
        <w:jc w:val="both"/>
        <w:rPr>
          <w:sz w:val="20"/>
          <w:szCs w:val="20"/>
        </w:rPr>
      </w:pPr>
    </w:p>
    <w:p w:rsidR="003E0534" w:rsidRDefault="003E0534" w:rsidP="003E0534">
      <w:pPr>
        <w:autoSpaceDE w:val="0"/>
        <w:autoSpaceDN w:val="0"/>
        <w:adjustRightInd w:val="0"/>
        <w:jc w:val="both"/>
        <w:rPr>
          <w:sz w:val="22"/>
          <w:szCs w:val="22"/>
        </w:rPr>
      </w:pPr>
    </w:p>
    <w:p w:rsidR="00652255" w:rsidRDefault="00FA1534" w:rsidP="00F7691C">
      <w:pPr>
        <w:autoSpaceDE w:val="0"/>
        <w:autoSpaceDN w:val="0"/>
        <w:adjustRightInd w:val="0"/>
        <w:ind w:firstLine="284"/>
        <w:jc w:val="both"/>
        <w:rPr>
          <w:sz w:val="22"/>
          <w:szCs w:val="22"/>
        </w:rPr>
      </w:pPr>
      <w:r w:rsidRPr="009C14E0">
        <w:rPr>
          <w:sz w:val="22"/>
          <w:szCs w:val="22"/>
        </w:rPr>
        <w:t>Organic solar cells (OSCs) have attracted extensive attention in the past decade as one of the promising photovoltaic technologies offering unique advantages over their inorganic counterparts, such as lightweight, low cost, flexibility, semitransparency, and solution-processing fabrication [1]. The design of novel narrow</w:t>
      </w:r>
      <w:r w:rsidR="00F637F6">
        <w:rPr>
          <w:sz w:val="22"/>
          <w:szCs w:val="22"/>
        </w:rPr>
        <w:t>-</w:t>
      </w:r>
      <w:r w:rsidRPr="009C14E0">
        <w:rPr>
          <w:sz w:val="22"/>
          <w:szCs w:val="22"/>
        </w:rPr>
        <w:t>bandgap donor and acceptor materials, interface engineering, novel processing methods, innovative device structure</w:t>
      </w:r>
      <w:r w:rsidR="00F637F6">
        <w:rPr>
          <w:sz w:val="22"/>
          <w:szCs w:val="22"/>
        </w:rPr>
        <w:t>s</w:t>
      </w:r>
      <w:r w:rsidRPr="009C14E0">
        <w:rPr>
          <w:sz w:val="22"/>
          <w:szCs w:val="22"/>
        </w:rPr>
        <w:t xml:space="preserve">, and light management led to </w:t>
      </w:r>
      <w:r w:rsidR="00F637F6">
        <w:rPr>
          <w:sz w:val="22"/>
          <w:szCs w:val="22"/>
        </w:rPr>
        <w:t xml:space="preserve">a </w:t>
      </w:r>
      <w:r w:rsidRPr="009C14E0">
        <w:rPr>
          <w:sz w:val="22"/>
          <w:szCs w:val="22"/>
        </w:rPr>
        <w:t xml:space="preserve">significant improvement in power conversion efficiency </w:t>
      </w:r>
      <w:r w:rsidR="009C14E0" w:rsidRPr="009C14E0">
        <w:rPr>
          <w:sz w:val="22"/>
          <w:szCs w:val="22"/>
        </w:rPr>
        <w:t>(PCE)</w:t>
      </w:r>
      <w:r w:rsidR="00F637F6">
        <w:rPr>
          <w:sz w:val="22"/>
          <w:szCs w:val="22"/>
        </w:rPr>
        <w:t>,</w:t>
      </w:r>
      <w:r w:rsidRPr="009C14E0">
        <w:rPr>
          <w:sz w:val="22"/>
          <w:szCs w:val="22"/>
        </w:rPr>
        <w:t xml:space="preserve">which exceeded 17% </w:t>
      </w:r>
      <w:r w:rsidR="009C14E0" w:rsidRPr="009C14E0">
        <w:rPr>
          <w:sz w:val="22"/>
          <w:szCs w:val="22"/>
        </w:rPr>
        <w:t xml:space="preserve">for single bulk heterojunction devices </w:t>
      </w:r>
      <w:r w:rsidRPr="009C14E0">
        <w:rPr>
          <w:sz w:val="22"/>
          <w:szCs w:val="22"/>
        </w:rPr>
        <w:t xml:space="preserve">[2]. </w:t>
      </w:r>
      <w:r w:rsidR="00C9114C">
        <w:rPr>
          <w:sz w:val="22"/>
          <w:szCs w:val="22"/>
        </w:rPr>
        <w:t>Still,</w:t>
      </w:r>
      <w:r w:rsidR="00652255">
        <w:rPr>
          <w:sz w:val="22"/>
          <w:szCs w:val="22"/>
        </w:rPr>
        <w:t xml:space="preserve"> </w:t>
      </w:r>
      <w:r w:rsidR="00C9114C">
        <w:rPr>
          <w:sz w:val="22"/>
          <w:szCs w:val="22"/>
        </w:rPr>
        <w:t>t</w:t>
      </w:r>
      <w:r w:rsidR="00C9114C" w:rsidRPr="00C9114C">
        <w:rPr>
          <w:sz w:val="22"/>
          <w:szCs w:val="22"/>
        </w:rPr>
        <w:t xml:space="preserve">he full </w:t>
      </w:r>
      <w:proofErr w:type="spellStart"/>
      <w:r w:rsidR="00C9114C" w:rsidRPr="00C9114C">
        <w:rPr>
          <w:sz w:val="22"/>
          <w:szCs w:val="22"/>
        </w:rPr>
        <w:t>photoconversion</w:t>
      </w:r>
      <w:proofErr w:type="spellEnd"/>
      <w:r w:rsidR="00C9114C" w:rsidRPr="00C9114C">
        <w:rPr>
          <w:sz w:val="22"/>
          <w:szCs w:val="22"/>
        </w:rPr>
        <w:t xml:space="preserve"> potential of these devices </w:t>
      </w:r>
      <w:r w:rsidR="00F637F6">
        <w:rPr>
          <w:sz w:val="22"/>
          <w:szCs w:val="22"/>
        </w:rPr>
        <w:t>has not be</w:t>
      </w:r>
      <w:r w:rsidR="00295B05">
        <w:rPr>
          <w:sz w:val="22"/>
          <w:szCs w:val="22"/>
        </w:rPr>
        <w:t>en</w:t>
      </w:r>
      <w:r w:rsidR="00F637F6">
        <w:rPr>
          <w:sz w:val="22"/>
          <w:szCs w:val="22"/>
        </w:rPr>
        <w:t xml:space="preserve"> reached because of the </w:t>
      </w:r>
      <w:r w:rsidR="00C9114C">
        <w:rPr>
          <w:sz w:val="22"/>
          <w:szCs w:val="22"/>
        </w:rPr>
        <w:t>unresolved OSCs</w:t>
      </w:r>
      <w:r w:rsidR="00C9114C" w:rsidRPr="00C9114C">
        <w:rPr>
          <w:sz w:val="22"/>
          <w:szCs w:val="22"/>
        </w:rPr>
        <w:t xml:space="preserve"> physics and the lack of adequate physical models describing </w:t>
      </w:r>
      <w:r w:rsidR="00F637F6">
        <w:rPr>
          <w:sz w:val="22"/>
          <w:szCs w:val="22"/>
        </w:rPr>
        <w:t>devices’</w:t>
      </w:r>
      <w:r w:rsidR="00C9114C">
        <w:rPr>
          <w:sz w:val="22"/>
          <w:szCs w:val="22"/>
        </w:rPr>
        <w:t xml:space="preserve"> operation</w:t>
      </w:r>
      <w:r w:rsidR="00C9114C" w:rsidRPr="00C9114C">
        <w:rPr>
          <w:sz w:val="22"/>
          <w:szCs w:val="22"/>
        </w:rPr>
        <w:t>.</w:t>
      </w:r>
    </w:p>
    <w:p w:rsidR="003E0534" w:rsidRDefault="00652255" w:rsidP="00933B5B">
      <w:pPr>
        <w:autoSpaceDE w:val="0"/>
        <w:autoSpaceDN w:val="0"/>
        <w:adjustRightInd w:val="0"/>
        <w:ind w:firstLine="284"/>
        <w:jc w:val="both"/>
        <w:rPr>
          <w:sz w:val="22"/>
          <w:szCs w:val="22"/>
        </w:rPr>
      </w:pPr>
      <w:r>
        <w:rPr>
          <w:sz w:val="22"/>
          <w:szCs w:val="22"/>
        </w:rPr>
        <w:t xml:space="preserve"> </w:t>
      </w:r>
    </w:p>
    <w:p w:rsidR="00CC429D" w:rsidRDefault="00F56EC9" w:rsidP="00F7691C">
      <w:pPr>
        <w:autoSpaceDE w:val="0"/>
        <w:autoSpaceDN w:val="0"/>
        <w:adjustRightInd w:val="0"/>
        <w:jc w:val="both"/>
        <w:rPr>
          <w:sz w:val="22"/>
          <w:szCs w:val="22"/>
        </w:rPr>
      </w:pPr>
      <w:r>
        <w:rPr>
          <w:sz w:val="22"/>
          <w:szCs w:val="22"/>
        </w:rPr>
        <w:t xml:space="preserve">It was established that surface processes, particularly </w:t>
      </w:r>
      <w:r w:rsidR="00295B05">
        <w:rPr>
          <w:sz w:val="22"/>
          <w:szCs w:val="22"/>
        </w:rPr>
        <w:t xml:space="preserve">a </w:t>
      </w:r>
      <w:r>
        <w:rPr>
          <w:sz w:val="22"/>
          <w:szCs w:val="22"/>
        </w:rPr>
        <w:t>surface recombination</w:t>
      </w:r>
      <w:r w:rsidR="00295B05">
        <w:rPr>
          <w:sz w:val="22"/>
          <w:szCs w:val="22"/>
        </w:rPr>
        <w:t xml:space="preserve"> as the loss mechanism</w:t>
      </w:r>
      <w:r>
        <w:rPr>
          <w:sz w:val="22"/>
          <w:szCs w:val="22"/>
        </w:rPr>
        <w:t xml:space="preserve"> have tremendous </w:t>
      </w:r>
      <w:r w:rsidR="00EB108B">
        <w:rPr>
          <w:sz w:val="22"/>
          <w:szCs w:val="22"/>
        </w:rPr>
        <w:t>influence</w:t>
      </w:r>
      <w:r>
        <w:rPr>
          <w:sz w:val="22"/>
          <w:szCs w:val="22"/>
        </w:rPr>
        <w:t xml:space="preserve"> on the OSCs performance </w:t>
      </w:r>
      <w:r w:rsidRPr="00652255">
        <w:rPr>
          <w:sz w:val="22"/>
          <w:szCs w:val="22"/>
        </w:rPr>
        <w:t>[3]</w:t>
      </w:r>
      <w:r>
        <w:rPr>
          <w:sz w:val="22"/>
          <w:szCs w:val="22"/>
        </w:rPr>
        <w:t xml:space="preserve">. </w:t>
      </w:r>
      <w:r w:rsidR="007045EF">
        <w:rPr>
          <w:sz w:val="22"/>
          <w:szCs w:val="22"/>
        </w:rPr>
        <w:t xml:space="preserve">It is of </w:t>
      </w:r>
      <w:r w:rsidR="00295B05">
        <w:rPr>
          <w:sz w:val="22"/>
          <w:szCs w:val="22"/>
        </w:rPr>
        <w:t xml:space="preserve">a </w:t>
      </w:r>
      <w:r w:rsidR="007045EF">
        <w:rPr>
          <w:sz w:val="22"/>
          <w:szCs w:val="22"/>
        </w:rPr>
        <w:t xml:space="preserve">great importance to </w:t>
      </w:r>
      <w:r w:rsidRPr="00F56EC9">
        <w:rPr>
          <w:sz w:val="22"/>
          <w:szCs w:val="22"/>
        </w:rPr>
        <w:t xml:space="preserve">distinguish </w:t>
      </w:r>
      <w:r w:rsidR="00295B05">
        <w:rPr>
          <w:sz w:val="22"/>
          <w:szCs w:val="22"/>
        </w:rPr>
        <w:t xml:space="preserve">between </w:t>
      </w:r>
      <w:r w:rsidRPr="00F56EC9">
        <w:rPr>
          <w:sz w:val="22"/>
          <w:szCs w:val="22"/>
        </w:rPr>
        <w:t xml:space="preserve">the </w:t>
      </w:r>
      <w:r w:rsidR="007045EF">
        <w:rPr>
          <w:sz w:val="22"/>
          <w:szCs w:val="22"/>
        </w:rPr>
        <w:t>influence</w:t>
      </w:r>
      <w:r w:rsidRPr="00F56EC9">
        <w:rPr>
          <w:sz w:val="22"/>
          <w:szCs w:val="22"/>
        </w:rPr>
        <w:t xml:space="preserve"> of </w:t>
      </w:r>
      <w:r>
        <w:rPr>
          <w:sz w:val="22"/>
          <w:szCs w:val="22"/>
        </w:rPr>
        <w:t xml:space="preserve">the </w:t>
      </w:r>
      <w:r w:rsidR="007045EF">
        <w:rPr>
          <w:sz w:val="22"/>
          <w:szCs w:val="22"/>
        </w:rPr>
        <w:t>majority and minority carrier</w:t>
      </w:r>
      <w:r w:rsidR="00652255">
        <w:rPr>
          <w:sz w:val="22"/>
          <w:szCs w:val="22"/>
        </w:rPr>
        <w:t xml:space="preserve"> </w:t>
      </w:r>
      <w:r w:rsidR="007045EF">
        <w:rPr>
          <w:sz w:val="22"/>
          <w:szCs w:val="22"/>
        </w:rPr>
        <w:t xml:space="preserve">surface </w:t>
      </w:r>
      <w:proofErr w:type="spellStart"/>
      <w:r w:rsidR="007045EF">
        <w:rPr>
          <w:sz w:val="22"/>
          <w:szCs w:val="22"/>
        </w:rPr>
        <w:t>recombination</w:t>
      </w:r>
      <w:r w:rsidR="0015106C" w:rsidRPr="00652255">
        <w:rPr>
          <w:sz w:val="22"/>
          <w:szCs w:val="22"/>
        </w:rPr>
        <w:t>s</w:t>
      </w:r>
      <w:proofErr w:type="spellEnd"/>
      <w:r w:rsidR="007045EF">
        <w:rPr>
          <w:sz w:val="22"/>
          <w:szCs w:val="22"/>
        </w:rPr>
        <w:t xml:space="preserve">. Also, the impact of surface recombination (of </w:t>
      </w:r>
      <w:r w:rsidR="00EB108B">
        <w:rPr>
          <w:sz w:val="22"/>
          <w:szCs w:val="22"/>
        </w:rPr>
        <w:t>majorities and minorities</w:t>
      </w:r>
      <w:r w:rsidR="007045EF">
        <w:rPr>
          <w:sz w:val="22"/>
          <w:szCs w:val="22"/>
        </w:rPr>
        <w:t>) is not identical at</w:t>
      </w:r>
      <w:r w:rsidR="00EB108B">
        <w:rPr>
          <w:sz w:val="22"/>
          <w:szCs w:val="22"/>
        </w:rPr>
        <w:t xml:space="preserve"> the anode and </w:t>
      </w:r>
      <w:r w:rsidR="007045EF">
        <w:rPr>
          <w:sz w:val="22"/>
          <w:szCs w:val="22"/>
        </w:rPr>
        <w:t>cathode</w:t>
      </w:r>
      <w:r w:rsidR="00EB108B">
        <w:rPr>
          <w:sz w:val="22"/>
          <w:szCs w:val="22"/>
        </w:rPr>
        <w:t xml:space="preserve"> contact</w:t>
      </w:r>
      <w:r w:rsidR="00295B05">
        <w:rPr>
          <w:sz w:val="22"/>
          <w:szCs w:val="22"/>
        </w:rPr>
        <w:t>,</w:t>
      </w:r>
      <w:r w:rsidR="007045EF">
        <w:rPr>
          <w:sz w:val="22"/>
          <w:szCs w:val="22"/>
        </w:rPr>
        <w:t xml:space="preserve"> since the device is illuminated through</w:t>
      </w:r>
      <w:r w:rsidR="00EB108B">
        <w:rPr>
          <w:sz w:val="22"/>
          <w:szCs w:val="22"/>
        </w:rPr>
        <w:t xml:space="preserve"> the</w:t>
      </w:r>
      <w:r w:rsidR="007045EF">
        <w:rPr>
          <w:sz w:val="22"/>
          <w:szCs w:val="22"/>
        </w:rPr>
        <w:t xml:space="preserve"> one of them</w:t>
      </w:r>
      <w:r w:rsidR="00EB108B">
        <w:rPr>
          <w:sz w:val="22"/>
          <w:szCs w:val="22"/>
        </w:rPr>
        <w:t>.T</w:t>
      </w:r>
      <w:r w:rsidR="007045EF">
        <w:rPr>
          <w:sz w:val="22"/>
          <w:szCs w:val="22"/>
        </w:rPr>
        <w:t>he surface recombination effects differ for the front and back electrode</w:t>
      </w:r>
      <w:r w:rsidRPr="00F56EC9">
        <w:rPr>
          <w:sz w:val="22"/>
          <w:szCs w:val="22"/>
        </w:rPr>
        <w:t>.</w:t>
      </w:r>
      <w:r w:rsidR="004D2848">
        <w:rPr>
          <w:sz w:val="22"/>
          <w:szCs w:val="22"/>
        </w:rPr>
        <w:t>The c</w:t>
      </w:r>
      <w:r w:rsidR="00EB108B">
        <w:rPr>
          <w:sz w:val="22"/>
          <w:szCs w:val="22"/>
        </w:rPr>
        <w:t>omprehensive study of surface recombination effects can be conducted through photo</w:t>
      </w:r>
      <w:r w:rsidR="00F7691C">
        <w:rPr>
          <w:sz w:val="22"/>
          <w:szCs w:val="22"/>
        </w:rPr>
        <w:t>current spectra (PCS) analysis.</w:t>
      </w:r>
    </w:p>
    <w:p w:rsidR="003E0534" w:rsidRDefault="003E0534" w:rsidP="00933B5B">
      <w:pPr>
        <w:autoSpaceDE w:val="0"/>
        <w:autoSpaceDN w:val="0"/>
        <w:adjustRightInd w:val="0"/>
        <w:ind w:firstLine="284"/>
        <w:jc w:val="both"/>
        <w:rPr>
          <w:sz w:val="22"/>
          <w:szCs w:val="22"/>
        </w:rPr>
      </w:pPr>
    </w:p>
    <w:p w:rsidR="009530BA" w:rsidRDefault="004D2848" w:rsidP="005A117D">
      <w:pPr>
        <w:autoSpaceDE w:val="0"/>
        <w:autoSpaceDN w:val="0"/>
        <w:adjustRightInd w:val="0"/>
        <w:jc w:val="both"/>
        <w:rPr>
          <w:sz w:val="22"/>
          <w:szCs w:val="22"/>
        </w:rPr>
      </w:pPr>
      <w:r>
        <w:rPr>
          <w:sz w:val="22"/>
          <w:szCs w:val="22"/>
        </w:rPr>
        <w:t>In this paper</w:t>
      </w:r>
      <w:r w:rsidR="00295B05">
        <w:rPr>
          <w:sz w:val="22"/>
          <w:szCs w:val="22"/>
        </w:rPr>
        <w:t>, a</w:t>
      </w:r>
      <w:r>
        <w:rPr>
          <w:sz w:val="22"/>
          <w:szCs w:val="22"/>
        </w:rPr>
        <w:t xml:space="preserve"> standard drift-diffusion model (DDM)</w:t>
      </w:r>
      <w:r w:rsidR="00A01089">
        <w:rPr>
          <w:sz w:val="22"/>
          <w:szCs w:val="22"/>
        </w:rPr>
        <w:t xml:space="preserve"> </w:t>
      </w:r>
      <w:r w:rsidR="00295B05">
        <w:rPr>
          <w:sz w:val="22"/>
          <w:szCs w:val="22"/>
        </w:rPr>
        <w:t>that</w:t>
      </w:r>
      <w:r w:rsidR="00845D40">
        <w:rPr>
          <w:sz w:val="22"/>
          <w:szCs w:val="22"/>
        </w:rPr>
        <w:t xml:space="preserve"> accounts for surface recombination and thermionic emission on electrode contacts through boundary conditions was used for PCS calculation </w:t>
      </w:r>
      <w:r w:rsidR="00845D40" w:rsidRPr="00652255">
        <w:rPr>
          <w:sz w:val="22"/>
          <w:szCs w:val="22"/>
        </w:rPr>
        <w:t>[</w:t>
      </w:r>
      <w:r w:rsidR="00652255">
        <w:rPr>
          <w:sz w:val="22"/>
          <w:szCs w:val="22"/>
        </w:rPr>
        <w:t>3</w:t>
      </w:r>
      <w:r w:rsidR="00845D40" w:rsidRPr="00652255">
        <w:rPr>
          <w:sz w:val="22"/>
          <w:szCs w:val="22"/>
        </w:rPr>
        <w:t>]</w:t>
      </w:r>
      <w:r w:rsidR="00845D40">
        <w:rPr>
          <w:sz w:val="22"/>
          <w:szCs w:val="22"/>
        </w:rPr>
        <w:t>. The photogeneration rate profile in the photovoltaic device was determined from</w:t>
      </w:r>
      <w:r w:rsidR="00090323">
        <w:rPr>
          <w:sz w:val="22"/>
          <w:szCs w:val="22"/>
        </w:rPr>
        <w:t xml:space="preserve"> the</w:t>
      </w:r>
      <w:r w:rsidR="00845D40">
        <w:rPr>
          <w:sz w:val="22"/>
          <w:szCs w:val="22"/>
        </w:rPr>
        <w:t xml:space="preserve"> Beer-Lambert la</w:t>
      </w:r>
      <w:r w:rsidR="0069632B">
        <w:rPr>
          <w:sz w:val="22"/>
          <w:szCs w:val="22"/>
        </w:rPr>
        <w:t>w</w:t>
      </w:r>
      <w:r w:rsidR="00845D40">
        <w:rPr>
          <w:sz w:val="22"/>
          <w:szCs w:val="22"/>
        </w:rPr>
        <w:t xml:space="preserve">. The PCS were simulated </w:t>
      </w:r>
      <w:r w:rsidR="00E30AC0">
        <w:rPr>
          <w:sz w:val="22"/>
          <w:szCs w:val="22"/>
        </w:rPr>
        <w:t>for</w:t>
      </w:r>
      <w:r w:rsidR="00A01089">
        <w:rPr>
          <w:sz w:val="22"/>
          <w:szCs w:val="22"/>
        </w:rPr>
        <w:t xml:space="preserve"> </w:t>
      </w:r>
      <w:r w:rsidR="00097E4E">
        <w:rPr>
          <w:sz w:val="22"/>
          <w:szCs w:val="22"/>
        </w:rPr>
        <w:t>th</w:t>
      </w:r>
      <w:r w:rsidR="00E30AC0">
        <w:rPr>
          <w:sz w:val="22"/>
          <w:szCs w:val="22"/>
        </w:rPr>
        <w:t>re</w:t>
      </w:r>
      <w:r w:rsidR="00097E4E">
        <w:rPr>
          <w:sz w:val="22"/>
          <w:szCs w:val="22"/>
        </w:rPr>
        <w:t>e case</w:t>
      </w:r>
      <w:r w:rsidR="00E30AC0">
        <w:rPr>
          <w:sz w:val="22"/>
          <w:szCs w:val="22"/>
        </w:rPr>
        <w:t xml:space="preserve">s: </w:t>
      </w:r>
      <w:r w:rsidR="00E30AC0" w:rsidRPr="0069632B">
        <w:rPr>
          <w:color w:val="000000" w:themeColor="text1"/>
          <w:sz w:val="22"/>
          <w:szCs w:val="22"/>
        </w:rPr>
        <w:t>1)</w:t>
      </w:r>
      <w:r w:rsidR="00652255">
        <w:rPr>
          <w:color w:val="000000" w:themeColor="text1"/>
          <w:sz w:val="22"/>
          <w:szCs w:val="22"/>
        </w:rPr>
        <w:t xml:space="preserve"> </w:t>
      </w:r>
      <w:r w:rsidR="00845D40">
        <w:rPr>
          <w:sz w:val="22"/>
          <w:szCs w:val="22"/>
        </w:rPr>
        <w:t>electron dominated transport</w:t>
      </w:r>
      <w:r w:rsidR="00097E4E">
        <w:rPr>
          <w:sz w:val="22"/>
          <w:szCs w:val="22"/>
        </w:rPr>
        <w:t>,</w:t>
      </w:r>
      <w:r w:rsidR="00E30AC0">
        <w:rPr>
          <w:sz w:val="22"/>
          <w:szCs w:val="22"/>
        </w:rPr>
        <w:t>(</w:t>
      </w:r>
      <w:r w:rsidR="00845D40">
        <w:rPr>
          <w:sz w:val="22"/>
          <w:szCs w:val="22"/>
        </w:rPr>
        <w:t xml:space="preserve">assuming electron mobility </w:t>
      </w:r>
      <w:r w:rsidR="00845D40">
        <w:rPr>
          <w:i/>
          <w:sz w:val="22"/>
          <w:szCs w:val="22"/>
        </w:rPr>
        <w:t>µ</w:t>
      </w:r>
      <w:r w:rsidR="00845D40" w:rsidRPr="00845D40">
        <w:rPr>
          <w:i/>
          <w:sz w:val="22"/>
          <w:szCs w:val="22"/>
          <w:vertAlign w:val="subscript"/>
        </w:rPr>
        <w:t>n</w:t>
      </w:r>
      <w:r w:rsidR="00A01089" w:rsidRPr="00A01089">
        <w:rPr>
          <w:i/>
          <w:sz w:val="22"/>
          <w:szCs w:val="22"/>
          <w:vertAlign w:val="superscript"/>
        </w:rPr>
        <w:t xml:space="preserve"> </w:t>
      </w:r>
      <w:r w:rsidR="00845D40">
        <w:rPr>
          <w:sz w:val="22"/>
          <w:szCs w:val="22"/>
        </w:rPr>
        <w:t xml:space="preserve">is much larger than hole mobility </w:t>
      </w:r>
      <w:r w:rsidR="00845D40">
        <w:rPr>
          <w:i/>
          <w:sz w:val="22"/>
          <w:szCs w:val="22"/>
        </w:rPr>
        <w:t>µ</w:t>
      </w:r>
      <w:r w:rsidR="00845D40" w:rsidRPr="00845D40">
        <w:rPr>
          <w:i/>
          <w:sz w:val="22"/>
          <w:szCs w:val="22"/>
          <w:vertAlign w:val="subscript"/>
        </w:rPr>
        <w:t>p</w:t>
      </w:r>
      <w:r w:rsidR="00E30AC0">
        <w:rPr>
          <w:sz w:val="22"/>
          <w:szCs w:val="22"/>
        </w:rPr>
        <w:t xml:space="preserve">), </w:t>
      </w:r>
      <w:r w:rsidR="00E30AC0" w:rsidRPr="0069632B">
        <w:rPr>
          <w:color w:val="000000" w:themeColor="text1"/>
          <w:sz w:val="22"/>
          <w:szCs w:val="22"/>
        </w:rPr>
        <w:t>2)</w:t>
      </w:r>
      <w:r w:rsidR="00845D40">
        <w:rPr>
          <w:sz w:val="22"/>
          <w:szCs w:val="22"/>
        </w:rPr>
        <w:t xml:space="preserve"> balanced transport (</w:t>
      </w:r>
      <w:r w:rsidR="00845D40">
        <w:rPr>
          <w:i/>
          <w:sz w:val="22"/>
          <w:szCs w:val="22"/>
        </w:rPr>
        <w:t>µ</w:t>
      </w:r>
      <w:r w:rsidR="00845D40" w:rsidRPr="00845D40">
        <w:rPr>
          <w:i/>
          <w:sz w:val="22"/>
          <w:szCs w:val="22"/>
          <w:vertAlign w:val="subscript"/>
        </w:rPr>
        <w:t>n</w:t>
      </w:r>
      <w:r w:rsidR="00845D40">
        <w:rPr>
          <w:sz w:val="22"/>
          <w:szCs w:val="22"/>
        </w:rPr>
        <w:t>~</w:t>
      </w:r>
      <w:r w:rsidR="00097E4E">
        <w:rPr>
          <w:i/>
          <w:sz w:val="22"/>
          <w:szCs w:val="22"/>
        </w:rPr>
        <w:t>µ</w:t>
      </w:r>
      <w:r w:rsidR="00097E4E" w:rsidRPr="00845D40">
        <w:rPr>
          <w:i/>
          <w:sz w:val="22"/>
          <w:szCs w:val="22"/>
          <w:vertAlign w:val="subscript"/>
        </w:rPr>
        <w:t>p</w:t>
      </w:r>
      <w:r w:rsidR="00845D40">
        <w:rPr>
          <w:sz w:val="22"/>
          <w:szCs w:val="22"/>
        </w:rPr>
        <w:t>)</w:t>
      </w:r>
      <w:r w:rsidR="00E30AC0">
        <w:rPr>
          <w:sz w:val="22"/>
          <w:szCs w:val="22"/>
        </w:rPr>
        <w:t>,</w:t>
      </w:r>
      <w:r w:rsidR="00845D40">
        <w:rPr>
          <w:sz w:val="22"/>
          <w:szCs w:val="22"/>
        </w:rPr>
        <w:t xml:space="preserve"> and </w:t>
      </w:r>
      <w:r w:rsidR="00E30AC0" w:rsidRPr="0069632B">
        <w:rPr>
          <w:color w:val="000000" w:themeColor="text1"/>
          <w:sz w:val="22"/>
          <w:szCs w:val="22"/>
        </w:rPr>
        <w:t>3)</w:t>
      </w:r>
      <w:r w:rsidR="00A01089">
        <w:rPr>
          <w:color w:val="000000" w:themeColor="text1"/>
          <w:sz w:val="22"/>
          <w:szCs w:val="22"/>
        </w:rPr>
        <w:t xml:space="preserve"> </w:t>
      </w:r>
      <w:r w:rsidR="00845D40">
        <w:rPr>
          <w:sz w:val="22"/>
          <w:szCs w:val="22"/>
        </w:rPr>
        <w:t>hole dominated transport</w:t>
      </w:r>
      <w:r w:rsidR="00097E4E">
        <w:rPr>
          <w:sz w:val="22"/>
          <w:szCs w:val="22"/>
        </w:rPr>
        <w:t xml:space="preserve"> (</w:t>
      </w:r>
      <w:r w:rsidR="00097E4E">
        <w:rPr>
          <w:i/>
          <w:sz w:val="22"/>
          <w:szCs w:val="22"/>
        </w:rPr>
        <w:t>µ</w:t>
      </w:r>
      <w:r w:rsidR="00097E4E" w:rsidRPr="00845D40">
        <w:rPr>
          <w:i/>
          <w:sz w:val="22"/>
          <w:szCs w:val="22"/>
          <w:vertAlign w:val="subscript"/>
        </w:rPr>
        <w:t>n</w:t>
      </w:r>
      <w:r w:rsidR="00097E4E">
        <w:rPr>
          <w:sz w:val="22"/>
          <w:szCs w:val="22"/>
        </w:rPr>
        <w:t>&lt;&lt;</w:t>
      </w:r>
      <w:r w:rsidR="00097E4E">
        <w:rPr>
          <w:i/>
          <w:sz w:val="22"/>
          <w:szCs w:val="22"/>
        </w:rPr>
        <w:t>µ</w:t>
      </w:r>
      <w:r w:rsidR="00097E4E" w:rsidRPr="00845D40">
        <w:rPr>
          <w:i/>
          <w:sz w:val="22"/>
          <w:szCs w:val="22"/>
          <w:vertAlign w:val="subscript"/>
        </w:rPr>
        <w:t>p</w:t>
      </w:r>
      <w:r w:rsidR="00097E4E">
        <w:rPr>
          <w:sz w:val="22"/>
          <w:szCs w:val="22"/>
        </w:rPr>
        <w:t>)</w:t>
      </w:r>
      <w:r w:rsidR="00845D40">
        <w:rPr>
          <w:sz w:val="22"/>
          <w:szCs w:val="22"/>
        </w:rPr>
        <w:t>.</w:t>
      </w:r>
      <w:r w:rsidR="00097E4E">
        <w:rPr>
          <w:sz w:val="22"/>
          <w:szCs w:val="22"/>
        </w:rPr>
        <w:t xml:space="preserve"> For each type of transport</w:t>
      </w:r>
      <w:r w:rsidR="00E30AC0">
        <w:rPr>
          <w:sz w:val="22"/>
          <w:szCs w:val="22"/>
        </w:rPr>
        <w:t>,</w:t>
      </w:r>
      <w:r w:rsidR="00097E4E">
        <w:rPr>
          <w:sz w:val="22"/>
          <w:szCs w:val="22"/>
        </w:rPr>
        <w:t xml:space="preserve"> the effect of </w:t>
      </w:r>
      <w:r w:rsidR="00647F3D">
        <w:rPr>
          <w:sz w:val="22"/>
          <w:szCs w:val="22"/>
        </w:rPr>
        <w:t>minority and majority carrier</w:t>
      </w:r>
      <w:r w:rsidR="00097E4E">
        <w:rPr>
          <w:sz w:val="22"/>
          <w:szCs w:val="22"/>
        </w:rPr>
        <w:t xml:space="preserve">surface recombination </w:t>
      </w:r>
      <w:r w:rsidR="00CE094B" w:rsidRPr="00097E4E">
        <w:rPr>
          <w:sz w:val="22"/>
          <w:szCs w:val="22"/>
        </w:rPr>
        <w:t>at the anode and cathode</w:t>
      </w:r>
      <w:r w:rsidR="00A01089">
        <w:rPr>
          <w:sz w:val="22"/>
          <w:szCs w:val="22"/>
        </w:rPr>
        <w:t xml:space="preserve"> </w:t>
      </w:r>
      <w:r w:rsidR="00097E4E">
        <w:rPr>
          <w:sz w:val="22"/>
          <w:szCs w:val="22"/>
        </w:rPr>
        <w:t xml:space="preserve">was </w:t>
      </w:r>
      <w:r w:rsidR="00097E4E" w:rsidRPr="00097E4E">
        <w:rPr>
          <w:sz w:val="22"/>
          <w:szCs w:val="22"/>
        </w:rPr>
        <w:t>considered.</w:t>
      </w:r>
      <w:r w:rsidR="00647F3D">
        <w:rPr>
          <w:sz w:val="22"/>
          <w:szCs w:val="22"/>
        </w:rPr>
        <w:t xml:space="preserve"> This was don</w:t>
      </w:r>
      <w:r w:rsidR="00097E4E">
        <w:rPr>
          <w:sz w:val="22"/>
          <w:szCs w:val="22"/>
        </w:rPr>
        <w:t xml:space="preserve">e by taking </w:t>
      </w:r>
      <w:r w:rsidR="00E30AC0">
        <w:rPr>
          <w:sz w:val="22"/>
          <w:szCs w:val="22"/>
        </w:rPr>
        <w:t xml:space="preserve">the </w:t>
      </w:r>
      <w:r w:rsidR="00647F3D">
        <w:rPr>
          <w:sz w:val="22"/>
          <w:szCs w:val="22"/>
        </w:rPr>
        <w:t xml:space="preserve">appropriate </w:t>
      </w:r>
      <w:r w:rsidR="00097E4E">
        <w:rPr>
          <w:sz w:val="22"/>
          <w:szCs w:val="22"/>
        </w:rPr>
        <w:t>surface recombi</w:t>
      </w:r>
      <w:r w:rsidR="00647F3D">
        <w:rPr>
          <w:sz w:val="22"/>
          <w:szCs w:val="22"/>
        </w:rPr>
        <w:t>nation velocity (SRV) to be reduced while other SRVs were assumed to tend to infinity.</w:t>
      </w:r>
      <w:r w:rsidR="00E30AC0">
        <w:rPr>
          <w:sz w:val="22"/>
          <w:szCs w:val="22"/>
        </w:rPr>
        <w:t>A</w:t>
      </w:r>
      <w:r w:rsidR="00377309" w:rsidRPr="00377309">
        <w:rPr>
          <w:sz w:val="22"/>
          <w:szCs w:val="22"/>
        </w:rPr>
        <w:t>detailed analysis of the obtained results was performed</w:t>
      </w:r>
      <w:r w:rsidR="00E30AC0">
        <w:rPr>
          <w:sz w:val="22"/>
          <w:szCs w:val="22"/>
        </w:rPr>
        <w:t xml:space="preserve"> by</w:t>
      </w:r>
      <w:r w:rsidR="00377309" w:rsidRPr="00377309">
        <w:rPr>
          <w:sz w:val="22"/>
          <w:szCs w:val="22"/>
        </w:rPr>
        <w:t xml:space="preserve"> taking into account </w:t>
      </w:r>
      <w:r w:rsidR="009126A4">
        <w:rPr>
          <w:sz w:val="22"/>
          <w:szCs w:val="22"/>
        </w:rPr>
        <w:t>different</w:t>
      </w:r>
      <w:r w:rsidR="00377309">
        <w:rPr>
          <w:sz w:val="22"/>
          <w:szCs w:val="22"/>
        </w:rPr>
        <w:t xml:space="preserve">penetration </w:t>
      </w:r>
      <w:r w:rsidR="00377309" w:rsidRPr="00377309">
        <w:rPr>
          <w:sz w:val="22"/>
          <w:szCs w:val="22"/>
        </w:rPr>
        <w:t xml:space="preserve">depths </w:t>
      </w:r>
      <w:r w:rsidR="00377309">
        <w:rPr>
          <w:sz w:val="22"/>
          <w:szCs w:val="22"/>
        </w:rPr>
        <w:t>f</w:t>
      </w:r>
      <w:r w:rsidR="009126A4">
        <w:rPr>
          <w:sz w:val="22"/>
          <w:szCs w:val="22"/>
        </w:rPr>
        <w:t>or</w:t>
      </w:r>
      <w:r w:rsidR="00377309">
        <w:rPr>
          <w:sz w:val="22"/>
          <w:szCs w:val="22"/>
        </w:rPr>
        <w:t xml:space="preserve"> different</w:t>
      </w:r>
      <w:r w:rsidR="009126A4">
        <w:rPr>
          <w:sz w:val="22"/>
          <w:szCs w:val="22"/>
        </w:rPr>
        <w:t xml:space="preserve"> light</w:t>
      </w:r>
      <w:r w:rsidR="00090323">
        <w:rPr>
          <w:sz w:val="22"/>
          <w:szCs w:val="22"/>
        </w:rPr>
        <w:t>wavelength</w:t>
      </w:r>
      <w:r w:rsidR="009126A4">
        <w:rPr>
          <w:sz w:val="22"/>
          <w:szCs w:val="22"/>
        </w:rPr>
        <w:t>s</w:t>
      </w:r>
      <w:r w:rsidR="00A26DEE">
        <w:rPr>
          <w:sz w:val="22"/>
          <w:szCs w:val="22"/>
        </w:rPr>
        <w:t>which were determined from absorption coefficient spectrum. Also</w:t>
      </w:r>
      <w:r w:rsidR="009126A4">
        <w:rPr>
          <w:sz w:val="22"/>
          <w:szCs w:val="22"/>
        </w:rPr>
        <w:t>,</w:t>
      </w:r>
      <w:r w:rsidR="00A26DEE">
        <w:rPr>
          <w:sz w:val="22"/>
          <w:szCs w:val="22"/>
        </w:rPr>
        <w:t xml:space="preserve"> the interplay between the bulk and surface recombination was considered</w:t>
      </w:r>
      <w:r w:rsidR="009126A4">
        <w:rPr>
          <w:sz w:val="22"/>
          <w:szCs w:val="22"/>
        </w:rPr>
        <w:t>,</w:t>
      </w:r>
      <w:r w:rsidR="00A01089">
        <w:rPr>
          <w:sz w:val="22"/>
          <w:szCs w:val="22"/>
        </w:rPr>
        <w:t xml:space="preserve"> </w:t>
      </w:r>
      <w:r w:rsidR="00A26DEE" w:rsidRPr="00A26DEE">
        <w:rPr>
          <w:sz w:val="22"/>
          <w:szCs w:val="22"/>
        </w:rPr>
        <w:t>having in mind that the influence of</w:t>
      </w:r>
      <w:r w:rsidR="00A26DEE">
        <w:rPr>
          <w:sz w:val="22"/>
          <w:szCs w:val="22"/>
        </w:rPr>
        <w:t xml:space="preserve"> thebulk</w:t>
      </w:r>
      <w:r w:rsidR="00A26DEE" w:rsidRPr="00A26DEE">
        <w:rPr>
          <w:sz w:val="22"/>
          <w:szCs w:val="22"/>
        </w:rPr>
        <w:t xml:space="preserve"> recombination is significantly </w:t>
      </w:r>
      <w:r w:rsidR="00A26DEE">
        <w:rPr>
          <w:sz w:val="22"/>
          <w:szCs w:val="22"/>
        </w:rPr>
        <w:t>reduced</w:t>
      </w:r>
      <w:r w:rsidR="00A26DEE" w:rsidRPr="00A26DEE">
        <w:rPr>
          <w:sz w:val="22"/>
          <w:szCs w:val="22"/>
        </w:rPr>
        <w:t xml:space="preserve"> at </w:t>
      </w:r>
      <w:r w:rsidR="00A26DEE">
        <w:rPr>
          <w:sz w:val="22"/>
          <w:szCs w:val="22"/>
        </w:rPr>
        <w:t>high</w:t>
      </w:r>
      <w:r w:rsidR="005234EC">
        <w:rPr>
          <w:sz w:val="22"/>
          <w:szCs w:val="22"/>
        </w:rPr>
        <w:t xml:space="preserve"> reverse</w:t>
      </w:r>
      <w:r w:rsidR="00B26AC4">
        <w:rPr>
          <w:sz w:val="22"/>
          <w:szCs w:val="22"/>
        </w:rPr>
        <w:t xml:space="preserve"> </w:t>
      </w:r>
      <w:r w:rsidR="009126A4">
        <w:rPr>
          <w:sz w:val="22"/>
          <w:szCs w:val="22"/>
        </w:rPr>
        <w:t>bias</w:t>
      </w:r>
      <w:r w:rsidR="00A26DEE" w:rsidRPr="00A26DEE">
        <w:rPr>
          <w:sz w:val="22"/>
          <w:szCs w:val="22"/>
        </w:rPr>
        <w:t xml:space="preserve"> voltages</w:t>
      </w:r>
      <w:r w:rsidR="009126A4">
        <w:rPr>
          <w:sz w:val="22"/>
          <w:szCs w:val="22"/>
        </w:rPr>
        <w:t>,</w:t>
      </w:r>
      <w:r w:rsidR="00B26AC4">
        <w:rPr>
          <w:sz w:val="22"/>
          <w:szCs w:val="22"/>
        </w:rPr>
        <w:t xml:space="preserve"> </w:t>
      </w:r>
      <w:r w:rsidR="00090323">
        <w:rPr>
          <w:sz w:val="22"/>
          <w:szCs w:val="22"/>
        </w:rPr>
        <w:t>making</w:t>
      </w:r>
      <w:r w:rsidR="004079EA">
        <w:rPr>
          <w:sz w:val="22"/>
          <w:szCs w:val="22"/>
        </w:rPr>
        <w:t xml:space="preserve"> the</w:t>
      </w:r>
      <w:r w:rsidR="00A26DEE">
        <w:rPr>
          <w:sz w:val="22"/>
          <w:szCs w:val="22"/>
        </w:rPr>
        <w:t xml:space="preserve"> effect</w:t>
      </w:r>
      <w:r w:rsidR="00090323">
        <w:rPr>
          <w:sz w:val="22"/>
          <w:szCs w:val="22"/>
        </w:rPr>
        <w:t>s</w:t>
      </w:r>
      <w:r w:rsidR="00A26DEE">
        <w:rPr>
          <w:sz w:val="22"/>
          <w:szCs w:val="22"/>
        </w:rPr>
        <w:t xml:space="preserve"> of </w:t>
      </w:r>
      <w:r w:rsidR="00A26DEE" w:rsidRPr="00A26DEE">
        <w:rPr>
          <w:sz w:val="22"/>
          <w:szCs w:val="22"/>
        </w:rPr>
        <w:t xml:space="preserve">surface recombination </w:t>
      </w:r>
      <w:r w:rsidR="00090323">
        <w:rPr>
          <w:sz w:val="22"/>
          <w:szCs w:val="22"/>
        </w:rPr>
        <w:t>visible</w:t>
      </w:r>
      <w:r w:rsidR="00A26DEE">
        <w:rPr>
          <w:sz w:val="22"/>
          <w:szCs w:val="22"/>
        </w:rPr>
        <w:t xml:space="preserve"> in </w:t>
      </w:r>
      <w:r w:rsidR="009126A4">
        <w:rPr>
          <w:sz w:val="22"/>
          <w:szCs w:val="22"/>
        </w:rPr>
        <w:t xml:space="preserve">the </w:t>
      </w:r>
      <w:r w:rsidR="00A26DEE">
        <w:rPr>
          <w:sz w:val="22"/>
          <w:szCs w:val="22"/>
        </w:rPr>
        <w:t>simulated PCS</w:t>
      </w:r>
      <w:r w:rsidR="00090323">
        <w:rPr>
          <w:sz w:val="22"/>
          <w:szCs w:val="22"/>
        </w:rPr>
        <w:t>. I</w:t>
      </w:r>
      <w:r w:rsidR="00A26DEE" w:rsidRPr="00A26DEE">
        <w:rPr>
          <w:sz w:val="22"/>
          <w:szCs w:val="22"/>
        </w:rPr>
        <w:t xml:space="preserve">n </w:t>
      </w:r>
      <w:r w:rsidR="00090323">
        <w:rPr>
          <w:sz w:val="22"/>
          <w:szCs w:val="22"/>
        </w:rPr>
        <w:t xml:space="preserve">the </w:t>
      </w:r>
      <w:r w:rsidR="009126A4">
        <w:rPr>
          <w:sz w:val="22"/>
          <w:szCs w:val="22"/>
        </w:rPr>
        <w:t xml:space="preserve">zero-biased </w:t>
      </w:r>
      <w:r w:rsidR="00A26DEE" w:rsidRPr="00A26DEE">
        <w:rPr>
          <w:sz w:val="22"/>
          <w:szCs w:val="22"/>
        </w:rPr>
        <w:t>device</w:t>
      </w:r>
      <w:r w:rsidR="009126A4">
        <w:rPr>
          <w:sz w:val="22"/>
          <w:szCs w:val="22"/>
        </w:rPr>
        <w:t>s,</w:t>
      </w:r>
      <w:r w:rsidR="00A01089">
        <w:rPr>
          <w:sz w:val="22"/>
          <w:szCs w:val="22"/>
        </w:rPr>
        <w:t xml:space="preserve"> </w:t>
      </w:r>
      <w:r w:rsidR="00A26DEE">
        <w:rPr>
          <w:sz w:val="22"/>
          <w:szCs w:val="22"/>
        </w:rPr>
        <w:t>the bulk</w:t>
      </w:r>
      <w:r w:rsidR="00A26DEE" w:rsidRPr="00A26DEE">
        <w:rPr>
          <w:sz w:val="22"/>
          <w:szCs w:val="22"/>
        </w:rPr>
        <w:t xml:space="preserve"> recombination is almost completely dominant</w:t>
      </w:r>
      <w:r w:rsidR="009126A4">
        <w:rPr>
          <w:sz w:val="22"/>
          <w:szCs w:val="22"/>
        </w:rPr>
        <w:t xml:space="preserve"> compared to the surface recombination</w:t>
      </w:r>
      <w:r w:rsidR="00A26DEE" w:rsidRPr="00A26DEE">
        <w:rPr>
          <w:sz w:val="22"/>
          <w:szCs w:val="22"/>
        </w:rPr>
        <w:t>.</w:t>
      </w:r>
    </w:p>
    <w:p w:rsidR="00DC04A5" w:rsidRDefault="00DC04A5" w:rsidP="00E2743A">
      <w:pPr>
        <w:autoSpaceDE w:val="0"/>
        <w:autoSpaceDN w:val="0"/>
        <w:adjustRightInd w:val="0"/>
        <w:jc w:val="both"/>
        <w:rPr>
          <w:sz w:val="22"/>
          <w:szCs w:val="22"/>
        </w:rPr>
      </w:pPr>
    </w:p>
    <w:p w:rsidR="00DC04A5" w:rsidRDefault="00DC04A5" w:rsidP="00E2743A">
      <w:pPr>
        <w:autoSpaceDE w:val="0"/>
        <w:autoSpaceDN w:val="0"/>
        <w:adjustRightInd w:val="0"/>
        <w:jc w:val="both"/>
        <w:rPr>
          <w:sz w:val="22"/>
          <w:szCs w:val="22"/>
        </w:rPr>
      </w:pPr>
      <w:r>
        <w:rPr>
          <w:sz w:val="22"/>
          <w:szCs w:val="22"/>
        </w:rPr>
        <w:t xml:space="preserve">The measured PCS for ITO/PEDOT:PSS/P3HT:PCBM/Al devices with eight different thicknesses of active P3HT:PCBM layer were compared to the ones calculated by described DDM. Excellent match between theory and experiment was accomplished </w:t>
      </w:r>
      <w:r w:rsidRPr="00DC04A5">
        <w:rPr>
          <w:sz w:val="22"/>
          <w:szCs w:val="22"/>
        </w:rPr>
        <w:t xml:space="preserve">indicating that there was no pronounced surface recombination in the </w:t>
      </w:r>
      <w:r w:rsidR="00E96D8B">
        <w:rPr>
          <w:sz w:val="22"/>
          <w:szCs w:val="22"/>
        </w:rPr>
        <w:t xml:space="preserve">fabricated </w:t>
      </w:r>
      <w:r w:rsidRPr="00DC04A5">
        <w:rPr>
          <w:sz w:val="22"/>
          <w:szCs w:val="22"/>
        </w:rPr>
        <w:t>devices</w:t>
      </w:r>
      <w:r>
        <w:rPr>
          <w:sz w:val="22"/>
          <w:szCs w:val="22"/>
        </w:rPr>
        <w:t xml:space="preserve">. </w:t>
      </w:r>
    </w:p>
    <w:p w:rsidR="003949BB" w:rsidRDefault="003949BB" w:rsidP="002344D6">
      <w:pPr>
        <w:autoSpaceDE w:val="0"/>
        <w:autoSpaceDN w:val="0"/>
        <w:adjustRightInd w:val="0"/>
        <w:jc w:val="both"/>
        <w:rPr>
          <w:sz w:val="22"/>
          <w:szCs w:val="22"/>
        </w:rPr>
      </w:pPr>
    </w:p>
    <w:p w:rsidR="0091754E" w:rsidRDefault="0091754E" w:rsidP="0091754E">
      <w:pPr>
        <w:autoSpaceDE w:val="0"/>
        <w:autoSpaceDN w:val="0"/>
        <w:adjustRightInd w:val="0"/>
        <w:jc w:val="both"/>
        <w:rPr>
          <w:sz w:val="22"/>
          <w:szCs w:val="22"/>
        </w:rPr>
      </w:pPr>
      <w:r w:rsidRPr="00F931A8">
        <w:rPr>
          <w:sz w:val="22"/>
          <w:szCs w:val="22"/>
        </w:rPr>
        <w:t>R</w:t>
      </w:r>
      <w:r>
        <w:rPr>
          <w:sz w:val="22"/>
          <w:szCs w:val="22"/>
        </w:rPr>
        <w:t>EFERENCES</w:t>
      </w:r>
    </w:p>
    <w:p w:rsidR="0091754E" w:rsidRDefault="0091754E" w:rsidP="00E02C12">
      <w:pPr>
        <w:autoSpaceDE w:val="0"/>
        <w:autoSpaceDN w:val="0"/>
        <w:adjustRightInd w:val="0"/>
        <w:ind w:left="294" w:hanging="294"/>
        <w:jc w:val="both"/>
        <w:rPr>
          <w:rFonts w:ascii="AdvOT52f2e314" w:hAnsi="AdvOT52f2e314"/>
          <w:color w:val="000000"/>
          <w:sz w:val="22"/>
          <w:szCs w:val="22"/>
        </w:rPr>
      </w:pPr>
      <w:r w:rsidRPr="00D813C2">
        <w:rPr>
          <w:sz w:val="22"/>
          <w:szCs w:val="22"/>
        </w:rPr>
        <w:t xml:space="preserve">[1] J. Gao, J. Wang, C. Xu, Z. Hu, X. Ma, X. Zhang, L. </w:t>
      </w:r>
      <w:proofErr w:type="spellStart"/>
      <w:r w:rsidRPr="00D813C2">
        <w:rPr>
          <w:sz w:val="22"/>
          <w:szCs w:val="22"/>
        </w:rPr>
        <w:t>Niu</w:t>
      </w:r>
      <w:proofErr w:type="spellEnd"/>
      <w:r w:rsidRPr="00D813C2">
        <w:rPr>
          <w:sz w:val="22"/>
          <w:szCs w:val="22"/>
        </w:rPr>
        <w:t>, J. Zhang, F. Zhang, “</w:t>
      </w:r>
      <w:r w:rsidRPr="00D813C2">
        <w:rPr>
          <w:color w:val="000000"/>
          <w:sz w:val="22"/>
          <w:szCs w:val="22"/>
        </w:rPr>
        <w:t xml:space="preserve">A Critical Review on Efficient Thick-Film Organic Solar Cells”, </w:t>
      </w:r>
      <w:r w:rsidRPr="00D813C2">
        <w:rPr>
          <w:rFonts w:ascii="AdvOT4cf4c306.I" w:hAnsi="AdvOT4cf4c306.I"/>
          <w:color w:val="000000"/>
          <w:sz w:val="22"/>
          <w:szCs w:val="22"/>
        </w:rPr>
        <w:t>Sol. RRL</w:t>
      </w:r>
      <w:r w:rsidR="00670EF2">
        <w:rPr>
          <w:color w:val="000000"/>
          <w:sz w:val="22"/>
          <w:szCs w:val="22"/>
        </w:rPr>
        <w:t>(</w:t>
      </w:r>
      <w:r w:rsidRPr="00D813C2">
        <w:rPr>
          <w:rFonts w:ascii="AdvOTe166e003.B" w:hAnsi="AdvOTe166e003.B"/>
          <w:color w:val="000000"/>
          <w:sz w:val="22"/>
          <w:szCs w:val="22"/>
        </w:rPr>
        <w:t>2020</w:t>
      </w:r>
      <w:r w:rsidR="00670EF2">
        <w:rPr>
          <w:rFonts w:ascii="AdvOTe166e003.B" w:hAnsi="AdvOTe166e003.B"/>
          <w:color w:val="000000"/>
          <w:sz w:val="22"/>
          <w:szCs w:val="22"/>
        </w:rPr>
        <w:t>)</w:t>
      </w:r>
      <w:r w:rsidR="00E02C12">
        <w:rPr>
          <w:rFonts w:ascii="AdvOTe166e003.B" w:hAnsi="AdvOTe166e003.B"/>
          <w:color w:val="000000"/>
          <w:sz w:val="22"/>
          <w:szCs w:val="22"/>
        </w:rPr>
        <w:t xml:space="preserve">, </w:t>
      </w:r>
      <w:r w:rsidR="00E02C12" w:rsidRPr="00E02C12">
        <w:rPr>
          <w:color w:val="000000"/>
          <w:sz w:val="22"/>
          <w:szCs w:val="22"/>
        </w:rPr>
        <w:t>2000364</w:t>
      </w:r>
      <w:r w:rsidR="00E02C12">
        <w:rPr>
          <w:color w:val="000000"/>
          <w:sz w:val="22"/>
          <w:szCs w:val="22"/>
        </w:rPr>
        <w:t xml:space="preserve"> (1</w:t>
      </w:r>
      <w:r w:rsidR="00670EF2">
        <w:rPr>
          <w:color w:val="000000"/>
          <w:sz w:val="22"/>
          <w:szCs w:val="22"/>
        </w:rPr>
        <w:t>‒26)</w:t>
      </w:r>
      <w:r w:rsidR="00D813C2" w:rsidRPr="00D813C2">
        <w:rPr>
          <w:rFonts w:ascii="AdvOT52f2e314" w:hAnsi="AdvOT52f2e314"/>
          <w:color w:val="000000"/>
          <w:sz w:val="22"/>
          <w:szCs w:val="22"/>
        </w:rPr>
        <w:t>.</w:t>
      </w:r>
    </w:p>
    <w:p w:rsidR="00652255" w:rsidRDefault="0091754E" w:rsidP="00652255">
      <w:pPr>
        <w:autoSpaceDE w:val="0"/>
        <w:autoSpaceDN w:val="0"/>
        <w:adjustRightInd w:val="0"/>
        <w:ind w:left="294" w:hanging="294"/>
        <w:jc w:val="both"/>
        <w:rPr>
          <w:color w:val="000000"/>
          <w:sz w:val="22"/>
          <w:szCs w:val="22"/>
        </w:rPr>
      </w:pPr>
      <w:r w:rsidRPr="00D813C2">
        <w:rPr>
          <w:sz w:val="22"/>
          <w:szCs w:val="22"/>
        </w:rPr>
        <w:t xml:space="preserve">[2] </w:t>
      </w:r>
      <w:r w:rsidRPr="00D813C2">
        <w:rPr>
          <w:rFonts w:ascii="FreeSerif" w:hAnsi="FreeSerif"/>
          <w:color w:val="000000"/>
          <w:sz w:val="22"/>
          <w:szCs w:val="22"/>
        </w:rPr>
        <w:t xml:space="preserve">Q. Liu, Y. Jiang, K. Jin, J. Qin, J. Xu, W. Li, J. </w:t>
      </w:r>
      <w:proofErr w:type="spellStart"/>
      <w:r w:rsidRPr="00D813C2">
        <w:rPr>
          <w:rFonts w:ascii="FreeSerif" w:hAnsi="FreeSerif"/>
          <w:color w:val="000000"/>
          <w:sz w:val="22"/>
          <w:szCs w:val="22"/>
        </w:rPr>
        <w:t>Xiong</w:t>
      </w:r>
      <w:proofErr w:type="spellEnd"/>
      <w:r w:rsidRPr="00D813C2">
        <w:rPr>
          <w:rFonts w:ascii="FreeSerif" w:hAnsi="FreeSerif"/>
          <w:color w:val="000000"/>
          <w:sz w:val="22"/>
          <w:szCs w:val="22"/>
        </w:rPr>
        <w:t>, J. Liu, Z. Xiao, K. Sun, S. Yang,</w:t>
      </w:r>
      <w:r w:rsidRPr="00D813C2">
        <w:rPr>
          <w:rFonts w:ascii="FreeSerif" w:hAnsi="FreeSerif"/>
          <w:color w:val="000000"/>
          <w:sz w:val="22"/>
          <w:szCs w:val="22"/>
        </w:rPr>
        <w:br/>
        <w:t xml:space="preserve">X. Zhang, L. Ding, </w:t>
      </w:r>
      <w:r w:rsidR="00073CD4">
        <w:rPr>
          <w:rFonts w:ascii="FreeSerif" w:hAnsi="FreeSerif"/>
          <w:color w:val="000000"/>
          <w:sz w:val="22"/>
          <w:szCs w:val="22"/>
        </w:rPr>
        <w:t>“</w:t>
      </w:r>
      <w:r w:rsidRPr="00D813C2">
        <w:rPr>
          <w:rFonts w:ascii="FreeSerif" w:hAnsi="FreeSerif"/>
          <w:color w:val="000000"/>
          <w:sz w:val="22"/>
          <w:szCs w:val="22"/>
        </w:rPr>
        <w:t xml:space="preserve">18% efficiency organic solar </w:t>
      </w:r>
      <w:r w:rsidRPr="00E02C12">
        <w:rPr>
          <w:color w:val="000000"/>
          <w:sz w:val="22"/>
          <w:szCs w:val="22"/>
        </w:rPr>
        <w:t>cells</w:t>
      </w:r>
      <w:r w:rsidR="00073CD4" w:rsidRPr="00E02C12">
        <w:rPr>
          <w:color w:val="000000"/>
          <w:sz w:val="22"/>
          <w:szCs w:val="22"/>
        </w:rPr>
        <w:t>”</w:t>
      </w:r>
      <w:r w:rsidRPr="00E02C12">
        <w:rPr>
          <w:color w:val="000000"/>
          <w:sz w:val="22"/>
          <w:szCs w:val="22"/>
        </w:rPr>
        <w:t xml:space="preserve">, </w:t>
      </w:r>
      <w:r w:rsidRPr="00E02C12">
        <w:rPr>
          <w:i/>
          <w:iCs/>
          <w:color w:val="000000"/>
          <w:sz w:val="22"/>
          <w:szCs w:val="22"/>
        </w:rPr>
        <w:t>Science Bulletin</w:t>
      </w:r>
      <w:r w:rsidR="00F7691C">
        <w:rPr>
          <w:i/>
          <w:iCs/>
          <w:color w:val="000000"/>
          <w:sz w:val="22"/>
          <w:szCs w:val="22"/>
        </w:rPr>
        <w:t xml:space="preserve"> </w:t>
      </w:r>
      <w:r w:rsidR="00E02C12" w:rsidRPr="00E02C12">
        <w:rPr>
          <w:color w:val="000000"/>
          <w:sz w:val="22"/>
          <w:szCs w:val="22"/>
        </w:rPr>
        <w:t>65,</w:t>
      </w:r>
      <w:r w:rsidR="00E02C12">
        <w:rPr>
          <w:color w:val="000000"/>
          <w:sz w:val="22"/>
          <w:szCs w:val="22"/>
        </w:rPr>
        <w:t xml:space="preserve">272‒275 </w:t>
      </w:r>
      <w:r w:rsidRPr="00E02C12">
        <w:rPr>
          <w:color w:val="000000"/>
          <w:sz w:val="22"/>
          <w:szCs w:val="22"/>
        </w:rPr>
        <w:t>(2020)</w:t>
      </w:r>
      <w:r w:rsidR="00D813C2" w:rsidRPr="00E02C12">
        <w:rPr>
          <w:color w:val="000000"/>
          <w:sz w:val="22"/>
          <w:szCs w:val="22"/>
        </w:rPr>
        <w:t>.</w:t>
      </w:r>
    </w:p>
    <w:p w:rsidR="0091754E" w:rsidRPr="00D813C2" w:rsidRDefault="0091754E" w:rsidP="00F7691C">
      <w:pPr>
        <w:autoSpaceDE w:val="0"/>
        <w:autoSpaceDN w:val="0"/>
        <w:adjustRightInd w:val="0"/>
        <w:ind w:left="294" w:hanging="294"/>
        <w:jc w:val="both"/>
        <w:rPr>
          <w:rFonts w:ascii="MyriadPro-Semibold" w:hAnsi="MyriadPro-Semibold"/>
          <w:color w:val="000000"/>
          <w:sz w:val="22"/>
          <w:szCs w:val="22"/>
        </w:rPr>
      </w:pPr>
      <w:r w:rsidRPr="00D813C2">
        <w:rPr>
          <w:sz w:val="22"/>
          <w:szCs w:val="22"/>
        </w:rPr>
        <w:t>[</w:t>
      </w:r>
      <w:r w:rsidR="0069632B">
        <w:rPr>
          <w:sz w:val="22"/>
          <w:szCs w:val="22"/>
        </w:rPr>
        <w:t>3</w:t>
      </w:r>
      <w:r w:rsidRPr="00D813C2">
        <w:rPr>
          <w:sz w:val="22"/>
          <w:szCs w:val="22"/>
        </w:rPr>
        <w:t xml:space="preserve">] </w:t>
      </w:r>
      <w:r w:rsidRPr="00D813C2">
        <w:rPr>
          <w:color w:val="000000"/>
          <w:sz w:val="22"/>
          <w:szCs w:val="22"/>
        </w:rPr>
        <w:t xml:space="preserve">A. </w:t>
      </w:r>
      <w:proofErr w:type="spellStart"/>
      <w:r w:rsidRPr="00D813C2">
        <w:rPr>
          <w:color w:val="000000"/>
          <w:sz w:val="22"/>
          <w:szCs w:val="22"/>
        </w:rPr>
        <w:t>Khalf</w:t>
      </w:r>
      <w:proofErr w:type="spellEnd"/>
      <w:r w:rsidRPr="00D813C2">
        <w:rPr>
          <w:color w:val="000000"/>
          <w:sz w:val="22"/>
          <w:szCs w:val="22"/>
        </w:rPr>
        <w:t xml:space="preserve">, J. </w:t>
      </w:r>
      <w:proofErr w:type="spellStart"/>
      <w:r w:rsidRPr="00D813C2">
        <w:rPr>
          <w:color w:val="000000"/>
          <w:sz w:val="22"/>
          <w:szCs w:val="22"/>
        </w:rPr>
        <w:t>Gojanović</w:t>
      </w:r>
      <w:proofErr w:type="spellEnd"/>
      <w:r w:rsidRPr="00D813C2">
        <w:rPr>
          <w:color w:val="000000"/>
          <w:sz w:val="22"/>
          <w:szCs w:val="22"/>
        </w:rPr>
        <w:t xml:space="preserve">, N. </w:t>
      </w:r>
      <w:proofErr w:type="spellStart"/>
      <w:r w:rsidRPr="00D813C2">
        <w:rPr>
          <w:color w:val="000000"/>
          <w:sz w:val="22"/>
          <w:szCs w:val="22"/>
        </w:rPr>
        <w:t>Ćirović</w:t>
      </w:r>
      <w:proofErr w:type="spellEnd"/>
      <w:r w:rsidRPr="00D813C2">
        <w:rPr>
          <w:color w:val="000000"/>
          <w:sz w:val="22"/>
          <w:szCs w:val="22"/>
        </w:rPr>
        <w:t xml:space="preserve">, S. </w:t>
      </w:r>
      <w:proofErr w:type="spellStart"/>
      <w:r w:rsidRPr="00D813C2">
        <w:rPr>
          <w:color w:val="000000"/>
          <w:sz w:val="22"/>
          <w:szCs w:val="22"/>
        </w:rPr>
        <w:t>Živanović</w:t>
      </w:r>
      <w:proofErr w:type="spellEnd"/>
      <w:r w:rsidRPr="00D813C2">
        <w:rPr>
          <w:color w:val="000000"/>
          <w:sz w:val="22"/>
          <w:szCs w:val="22"/>
        </w:rPr>
        <w:t>,</w:t>
      </w:r>
      <w:r w:rsidRPr="00D813C2">
        <w:rPr>
          <w:rFonts w:ascii="MyriadPro-Semibold" w:hAnsi="MyriadPro-Semibold"/>
          <w:color w:val="000000"/>
          <w:sz w:val="22"/>
          <w:szCs w:val="22"/>
        </w:rPr>
        <w:t xml:space="preserve"> “</w:t>
      </w:r>
      <w:r w:rsidRPr="00D813C2">
        <w:rPr>
          <w:color w:val="000000"/>
          <w:sz w:val="22"/>
          <w:szCs w:val="22"/>
        </w:rPr>
        <w:t>Two different types of S</w:t>
      </w:r>
      <w:r w:rsidR="00F7691C">
        <w:rPr>
          <w:color w:val="000000"/>
          <w:sz w:val="22"/>
          <w:szCs w:val="22"/>
        </w:rPr>
        <w:t>-</w:t>
      </w:r>
      <w:r w:rsidRPr="00D813C2">
        <w:rPr>
          <w:color w:val="000000"/>
          <w:sz w:val="22"/>
          <w:szCs w:val="22"/>
        </w:rPr>
        <w:t>shaped J</w:t>
      </w:r>
      <w:r w:rsidR="00F7691C">
        <w:rPr>
          <w:color w:val="000000"/>
          <w:sz w:val="22"/>
          <w:szCs w:val="22"/>
        </w:rPr>
        <w:t>-</w:t>
      </w:r>
      <w:r w:rsidRPr="00D813C2">
        <w:rPr>
          <w:color w:val="000000"/>
          <w:sz w:val="22"/>
          <w:szCs w:val="22"/>
        </w:rPr>
        <w:t>V characteristics in organic solar cells</w:t>
      </w:r>
      <w:r w:rsidRPr="00D813C2">
        <w:rPr>
          <w:rFonts w:ascii="MyriadPro-Semibold" w:hAnsi="MyriadPro-Semibold"/>
          <w:color w:val="000000"/>
          <w:sz w:val="22"/>
          <w:szCs w:val="22"/>
        </w:rPr>
        <w:t xml:space="preserve">”, </w:t>
      </w:r>
      <w:r w:rsidRPr="00D813C2">
        <w:rPr>
          <w:rFonts w:ascii="MyriadPro-SemiCn" w:hAnsi="MyriadPro-SemiCn"/>
          <w:color w:val="000000"/>
          <w:sz w:val="22"/>
          <w:szCs w:val="22"/>
        </w:rPr>
        <w:t>Optical and Quantum Electronics</w:t>
      </w:r>
      <w:r w:rsidR="00E02C12">
        <w:rPr>
          <w:rFonts w:ascii="MyriadPro-SemiCn" w:hAnsi="MyriadPro-SemiCn"/>
          <w:color w:val="000000"/>
          <w:sz w:val="22"/>
          <w:szCs w:val="22"/>
        </w:rPr>
        <w:t xml:space="preserve"> 52, 121</w:t>
      </w:r>
      <w:r w:rsidRPr="00D813C2">
        <w:rPr>
          <w:rFonts w:ascii="MyriadPro-SemiCn" w:hAnsi="MyriadPro-SemiCn"/>
          <w:color w:val="000000"/>
          <w:sz w:val="22"/>
          <w:szCs w:val="22"/>
        </w:rPr>
        <w:t xml:space="preserve"> (2020)</w:t>
      </w:r>
      <w:r w:rsidR="00D813C2">
        <w:rPr>
          <w:rFonts w:ascii="MyriadPro-SemiCn" w:hAnsi="MyriadPro-SemiCn"/>
          <w:color w:val="000000"/>
          <w:sz w:val="22"/>
          <w:szCs w:val="22"/>
        </w:rPr>
        <w:t>.</w:t>
      </w:r>
    </w:p>
    <w:sectPr w:rsidR="0091754E" w:rsidRPr="00D813C2" w:rsidSect="006A6C19">
      <w:pgSz w:w="11907" w:h="16840" w:code="9"/>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00"/>
    <w:family w:val="roman"/>
    <w:notTrueType/>
    <w:pitch w:val="default"/>
  </w:font>
  <w:font w:name="AdvOT52f2e314">
    <w:altName w:val="Times New Roman"/>
    <w:panose1 w:val="00000000000000000000"/>
    <w:charset w:val="00"/>
    <w:family w:val="roman"/>
    <w:notTrueType/>
    <w:pitch w:val="default"/>
  </w:font>
  <w:font w:name="AdvOT4cf4c306.I">
    <w:altName w:val="Times New Roman"/>
    <w:panose1 w:val="00000000000000000000"/>
    <w:charset w:val="00"/>
    <w:family w:val="roman"/>
    <w:notTrueType/>
    <w:pitch w:val="default"/>
  </w:font>
  <w:font w:name="AdvOTe166e003.B">
    <w:altName w:val="Times New Roman"/>
    <w:panose1 w:val="00000000000000000000"/>
    <w:charset w:val="00"/>
    <w:family w:val="roman"/>
    <w:notTrueType/>
    <w:pitch w:val="default"/>
  </w:font>
  <w:font w:name="FreeSerif">
    <w:altName w:val="Times New Roman"/>
    <w:panose1 w:val="00000000000000000000"/>
    <w:charset w:val="00"/>
    <w:family w:val="roman"/>
    <w:notTrueType/>
    <w:pitch w:val="default"/>
  </w:font>
  <w:font w:name="MyriadPro-Semibold">
    <w:altName w:val="Times New Roman"/>
    <w:panose1 w:val="00000000000000000000"/>
    <w:charset w:val="00"/>
    <w:family w:val="roman"/>
    <w:notTrueType/>
    <w:pitch w:val="default"/>
  </w:font>
  <w:font w:name="MyriadPro-SemiC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yszQ2MzKxMDcyMbCwNDVS0lEKTi0uzszPAykwqgUASn5qSiwAAAA="/>
  </w:docVars>
  <w:rsids>
    <w:rsidRoot w:val="00CC429D"/>
    <w:rsid w:val="00037E31"/>
    <w:rsid w:val="00073CD4"/>
    <w:rsid w:val="00090323"/>
    <w:rsid w:val="00097E4E"/>
    <w:rsid w:val="000A3267"/>
    <w:rsid w:val="000B4A4D"/>
    <w:rsid w:val="000E24E1"/>
    <w:rsid w:val="0010060E"/>
    <w:rsid w:val="00120E32"/>
    <w:rsid w:val="0015106C"/>
    <w:rsid w:val="001605A9"/>
    <w:rsid w:val="0016793B"/>
    <w:rsid w:val="0019259C"/>
    <w:rsid w:val="001C4C2D"/>
    <w:rsid w:val="001E5803"/>
    <w:rsid w:val="002344D6"/>
    <w:rsid w:val="00284FA3"/>
    <w:rsid w:val="00295B05"/>
    <w:rsid w:val="002D3E49"/>
    <w:rsid w:val="00312CCC"/>
    <w:rsid w:val="00336A61"/>
    <w:rsid w:val="00377309"/>
    <w:rsid w:val="003949BB"/>
    <w:rsid w:val="003B0B4A"/>
    <w:rsid w:val="003E0534"/>
    <w:rsid w:val="003E78D2"/>
    <w:rsid w:val="00406E29"/>
    <w:rsid w:val="004079EA"/>
    <w:rsid w:val="00441182"/>
    <w:rsid w:val="004D2848"/>
    <w:rsid w:val="004E3764"/>
    <w:rsid w:val="005234EC"/>
    <w:rsid w:val="005243C5"/>
    <w:rsid w:val="005A117D"/>
    <w:rsid w:val="005A2A4D"/>
    <w:rsid w:val="005C083B"/>
    <w:rsid w:val="005E0E65"/>
    <w:rsid w:val="005E5747"/>
    <w:rsid w:val="00614221"/>
    <w:rsid w:val="006316BB"/>
    <w:rsid w:val="00634539"/>
    <w:rsid w:val="00647F3D"/>
    <w:rsid w:val="00652255"/>
    <w:rsid w:val="00670EF2"/>
    <w:rsid w:val="0069632B"/>
    <w:rsid w:val="006A48FC"/>
    <w:rsid w:val="006A6C19"/>
    <w:rsid w:val="006C1B0C"/>
    <w:rsid w:val="006F1839"/>
    <w:rsid w:val="007045EF"/>
    <w:rsid w:val="00731D38"/>
    <w:rsid w:val="007714E1"/>
    <w:rsid w:val="0078204C"/>
    <w:rsid w:val="00787C90"/>
    <w:rsid w:val="00797B18"/>
    <w:rsid w:val="007E137A"/>
    <w:rsid w:val="00817F14"/>
    <w:rsid w:val="00820905"/>
    <w:rsid w:val="00845D40"/>
    <w:rsid w:val="00887745"/>
    <w:rsid w:val="009126A4"/>
    <w:rsid w:val="0091754E"/>
    <w:rsid w:val="00933B5B"/>
    <w:rsid w:val="00937560"/>
    <w:rsid w:val="009530BA"/>
    <w:rsid w:val="00972AD8"/>
    <w:rsid w:val="0098310E"/>
    <w:rsid w:val="00991AF1"/>
    <w:rsid w:val="009C14E0"/>
    <w:rsid w:val="009E1E5E"/>
    <w:rsid w:val="00A01089"/>
    <w:rsid w:val="00A26DEE"/>
    <w:rsid w:val="00A64658"/>
    <w:rsid w:val="00A946B2"/>
    <w:rsid w:val="00AB49CF"/>
    <w:rsid w:val="00AF194F"/>
    <w:rsid w:val="00B215E4"/>
    <w:rsid w:val="00B26AC4"/>
    <w:rsid w:val="00B71ACC"/>
    <w:rsid w:val="00B95BFF"/>
    <w:rsid w:val="00BF5067"/>
    <w:rsid w:val="00C31D69"/>
    <w:rsid w:val="00C9114C"/>
    <w:rsid w:val="00C96B61"/>
    <w:rsid w:val="00CC429D"/>
    <w:rsid w:val="00CD7FD3"/>
    <w:rsid w:val="00CE094B"/>
    <w:rsid w:val="00D06DBD"/>
    <w:rsid w:val="00D32527"/>
    <w:rsid w:val="00D813C2"/>
    <w:rsid w:val="00DC04A5"/>
    <w:rsid w:val="00E02C12"/>
    <w:rsid w:val="00E23BD2"/>
    <w:rsid w:val="00E2743A"/>
    <w:rsid w:val="00E30AC0"/>
    <w:rsid w:val="00E57A7C"/>
    <w:rsid w:val="00E9551C"/>
    <w:rsid w:val="00E96D8B"/>
    <w:rsid w:val="00EB108B"/>
    <w:rsid w:val="00EC6F4C"/>
    <w:rsid w:val="00EF0E84"/>
    <w:rsid w:val="00F04C82"/>
    <w:rsid w:val="00F56EC9"/>
    <w:rsid w:val="00F637F6"/>
    <w:rsid w:val="00F7691C"/>
    <w:rsid w:val="00F931A8"/>
    <w:rsid w:val="00FA1534"/>
    <w:rsid w:val="00FB463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A4D"/>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C04A5"/>
    <w:rPr>
      <w:color w:val="0000FF"/>
      <w:u w:val="single"/>
    </w:rPr>
  </w:style>
  <w:style w:type="character" w:customStyle="1" w:styleId="fontstyle01">
    <w:name w:val="fontstyle01"/>
    <w:rsid w:val="00E9551C"/>
    <w:rPr>
      <w:rFonts w:ascii="Times-Roman" w:hAnsi="Times-Roman" w:hint="default"/>
      <w:b w:val="0"/>
      <w:bCs w:val="0"/>
      <w:i w:val="0"/>
      <w:iCs w:val="0"/>
      <w:color w:val="24202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C04A5"/>
    <w:rPr>
      <w:color w:val="0000FF"/>
      <w:u w:val="single"/>
    </w:rPr>
  </w:style>
  <w:style w:type="character" w:customStyle="1" w:styleId="fontstyle01">
    <w:name w:val="fontstyle01"/>
    <w:rsid w:val="00E9551C"/>
    <w:rPr>
      <w:rFonts w:ascii="Times-Roman" w:hAnsi="Times-Roman" w:hint="default"/>
      <w:b w:val="0"/>
      <w:bCs w:val="0"/>
      <w:i w:val="0"/>
      <w:iCs w:val="0"/>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601</Words>
  <Characters>3428</Characters>
  <Application>Microsoft Office Word</Application>
  <DocSecurity>0</DocSecurity>
  <Lines>28</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How to prepare an abstract for ISCOM</vt:lpstr>
      <vt:lpstr>How to prepare an abstract for ISCOM</vt:lpstr>
    </vt:vector>
  </TitlesOfParts>
  <Company>Grizli777</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creator>User</dc:creator>
  <cp:lastModifiedBy>Ali KHALF</cp:lastModifiedBy>
  <cp:revision>10</cp:revision>
  <cp:lastPrinted>2007-04-17T12:39:00Z</cp:lastPrinted>
  <dcterms:created xsi:type="dcterms:W3CDTF">2021-06-29T16:47:00Z</dcterms:created>
  <dcterms:modified xsi:type="dcterms:W3CDTF">2021-06-30T10:51:00Z</dcterms:modified>
</cp:coreProperties>
</file>