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3949BB" w:rsidR="00F931A8" w:rsidP="6F47FC6C" w:rsidRDefault="003949BB" w14:paraId="5AD1270E" wp14:textId="215CDA54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  <w:r w:rsidRPr="7F88C4F0" w:rsidR="1303AA20">
        <w:rPr>
          <w:b w:val="1"/>
          <w:bCs w:val="1"/>
          <w:sz w:val="28"/>
          <w:szCs w:val="28"/>
        </w:rPr>
        <w:t xml:space="preserve">Reducing number of </w:t>
      </w:r>
      <w:r w:rsidRPr="7F88C4F0" w:rsidR="32CC8543">
        <w:rPr>
          <w:b w:val="1"/>
          <w:bCs w:val="1"/>
          <w:sz w:val="28"/>
          <w:szCs w:val="28"/>
        </w:rPr>
        <w:t xml:space="preserve">measuring points </w:t>
      </w:r>
      <w:r w:rsidRPr="7F88C4F0" w:rsidR="1303AA20">
        <w:rPr>
          <w:b w:val="1"/>
          <w:bCs w:val="1"/>
          <w:sz w:val="28"/>
          <w:szCs w:val="28"/>
        </w:rPr>
        <w:t>for estimating reflected spectrum of colorimetric probe</w:t>
      </w:r>
    </w:p>
    <w:p xmlns:wp14="http://schemas.microsoft.com/office/word/2010/wordml" w:rsidR="00F931A8" w:rsidP="002344D6" w:rsidRDefault="00F931A8" w14:paraId="672A6659" wp14:textId="777777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xmlns:wp14="http://schemas.microsoft.com/office/word/2010/wordml" w:rsidRPr="003949BB" w:rsidR="00CC429D" w:rsidP="18D0B48F" w:rsidRDefault="005E0E65" w14:paraId="5E8E0245" wp14:textId="67E99CAD">
      <w:pPr>
        <w:pStyle w:val="Normal"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18D0B48F" w:rsidR="1303AA20">
        <w:rPr>
          <w:sz w:val="22"/>
          <w:szCs w:val="22"/>
          <w:u w:val="single"/>
        </w:rPr>
        <w:t>M. Arbanas</w:t>
      </w:r>
      <w:r w:rsidRPr="18D0B48F" w:rsidR="00CC429D">
        <w:rPr>
          <w:sz w:val="16"/>
          <w:szCs w:val="16"/>
          <w:vertAlign w:val="superscript"/>
        </w:rPr>
        <w:t>1</w:t>
      </w:r>
      <w:r w:rsidRPr="18D0B48F" w:rsidR="00F931A8">
        <w:rPr>
          <w:sz w:val="22"/>
          <w:szCs w:val="22"/>
        </w:rPr>
        <w:t>,</w:t>
      </w:r>
      <w:r w:rsidRPr="18D0B48F" w:rsidR="307A2E48">
        <w:rPr>
          <w:sz w:val="22"/>
          <w:szCs w:val="22"/>
        </w:rPr>
        <w:t xml:space="preserve"> B. Batinić</w:t>
      </w:r>
      <w:r w:rsidRPr="18D0B48F" w:rsidR="307A2E48">
        <w:rPr>
          <w:sz w:val="16"/>
          <w:szCs w:val="16"/>
          <w:vertAlign w:val="superscript"/>
        </w:rPr>
        <w:t xml:space="preserve"> 1</w:t>
      </w:r>
      <w:r w:rsidRPr="18D0B48F" w:rsidR="307A2E48">
        <w:rPr>
          <w:sz w:val="22"/>
          <w:szCs w:val="22"/>
        </w:rPr>
        <w:t>,</w:t>
      </w:r>
      <w:r w:rsidRPr="18D0B48F" w:rsidR="00F931A8">
        <w:rPr>
          <w:sz w:val="22"/>
          <w:szCs w:val="22"/>
        </w:rPr>
        <w:t xml:space="preserve"> </w:t>
      </w:r>
      <w:r w:rsidRPr="18D0B48F" w:rsidR="005E0E65">
        <w:rPr>
          <w:sz w:val="22"/>
          <w:szCs w:val="22"/>
        </w:rPr>
        <w:t>J</w:t>
      </w:r>
      <w:r w:rsidRPr="18D0B48F" w:rsidR="24AC9F9F">
        <w:rPr>
          <w:sz w:val="22"/>
          <w:szCs w:val="22"/>
        </w:rPr>
        <w:t>. Bajić</w:t>
      </w:r>
      <w:r w:rsidRPr="18D0B48F" w:rsidR="07574467">
        <w:rPr>
          <w:sz w:val="16"/>
          <w:szCs w:val="16"/>
          <w:vertAlign w:val="superscript"/>
        </w:rPr>
        <w:t xml:space="preserve"> 1</w:t>
      </w:r>
      <w:r w:rsidRPr="18D0B48F" w:rsidR="11FB91CD">
        <w:rPr>
          <w:sz w:val="22"/>
          <w:szCs w:val="22"/>
        </w:rPr>
        <w:t>,</w:t>
      </w:r>
      <w:r w:rsidRPr="18D0B48F" w:rsidR="20B87E45">
        <w:rPr>
          <w:sz w:val="22"/>
          <w:szCs w:val="22"/>
        </w:rPr>
        <w:t xml:space="preserve"> M. Vasiljević-Toskić</w:t>
      </w:r>
      <w:r w:rsidRPr="18D0B48F" w:rsidR="20B87E45">
        <w:rPr>
          <w:sz w:val="16"/>
          <w:szCs w:val="16"/>
          <w:vertAlign w:val="superscript"/>
        </w:rPr>
        <w:t xml:space="preserve"> 1</w:t>
      </w:r>
      <w:r w:rsidRPr="18D0B48F" w:rsidR="2D76E884">
        <w:rPr>
          <w:sz w:val="22"/>
          <w:szCs w:val="22"/>
        </w:rPr>
        <w:t xml:space="preserve">, </w:t>
      </w:r>
      <w:r w:rsidRPr="18D0B48F" w:rsidR="11FB91CD">
        <w:rPr>
          <w:sz w:val="22"/>
          <w:szCs w:val="22"/>
        </w:rPr>
        <w:t>M. Brkić</w:t>
      </w:r>
      <w:r w:rsidRPr="18D0B48F" w:rsidR="11FB91CD">
        <w:rPr>
          <w:sz w:val="16"/>
          <w:szCs w:val="16"/>
          <w:vertAlign w:val="superscript"/>
        </w:rPr>
        <w:t xml:space="preserve"> 1</w:t>
      </w:r>
      <w:r w:rsidRPr="18D0B48F" w:rsidR="1806288C">
        <w:rPr>
          <w:sz w:val="16"/>
          <w:szCs w:val="16"/>
          <w:vertAlign w:val="superscript"/>
        </w:rPr>
        <w:t xml:space="preserve"> </w:t>
      </w:r>
      <w:r w:rsidRPr="18D0B48F" w:rsidR="599B49FC">
        <w:rPr>
          <w:sz w:val="22"/>
          <w:szCs w:val="22"/>
        </w:rPr>
        <w:t xml:space="preserve">and </w:t>
      </w:r>
      <w:r w:rsidRPr="18D0B48F" w:rsidR="11FB91CD">
        <w:rPr>
          <w:sz w:val="22"/>
          <w:szCs w:val="22"/>
        </w:rPr>
        <w:t>V.</w:t>
      </w:r>
      <w:r w:rsidRPr="18D0B48F" w:rsidR="11FB91CD">
        <w:rPr>
          <w:sz w:val="22"/>
          <w:szCs w:val="22"/>
        </w:rPr>
        <w:t xml:space="preserve"> Rajs</w:t>
      </w:r>
      <w:r w:rsidRPr="18D0B48F" w:rsidR="11FB91CD">
        <w:rPr>
          <w:sz w:val="16"/>
          <w:szCs w:val="16"/>
          <w:vertAlign w:val="superscript"/>
        </w:rPr>
        <w:t>1</w:t>
      </w:r>
      <w:r w:rsidRPr="18D0B48F" w:rsidR="11FB91CD">
        <w:rPr>
          <w:sz w:val="22"/>
          <w:szCs w:val="22"/>
        </w:rPr>
        <w:t xml:space="preserve"> </w:t>
      </w:r>
    </w:p>
    <w:p xmlns:wp14="http://schemas.microsoft.com/office/word/2010/wordml" w:rsidR="00CC429D" w:rsidP="6F47FC6C" w:rsidRDefault="00CC429D" w14:paraId="00791113" wp14:textId="155328F8">
      <w:pPr>
        <w:autoSpaceDE w:val="0"/>
        <w:autoSpaceDN w:val="0"/>
        <w:adjustRightInd w:val="0"/>
        <w:jc w:val="center"/>
        <w:rPr>
          <w:i w:val="1"/>
          <w:iCs w:val="1"/>
          <w:sz w:val="20"/>
          <w:szCs w:val="20"/>
        </w:rPr>
      </w:pPr>
      <w:r w:rsidRPr="6F47FC6C" w:rsidR="00CC429D">
        <w:rPr>
          <w:sz w:val="14"/>
          <w:szCs w:val="14"/>
          <w:vertAlign w:val="superscript"/>
        </w:rPr>
        <w:t>1</w:t>
      </w:r>
      <w:r w:rsidRPr="6F47FC6C" w:rsidR="2CC837BA">
        <w:rPr>
          <w:i w:val="1"/>
          <w:iCs w:val="1"/>
          <w:sz w:val="20"/>
          <w:szCs w:val="20"/>
        </w:rPr>
        <w:t>Faculty of Technical</w:t>
      </w:r>
      <w:r w:rsidRPr="6F47FC6C" w:rsidR="005E0E65">
        <w:rPr>
          <w:i w:val="1"/>
          <w:iCs w:val="1"/>
          <w:sz w:val="20"/>
          <w:szCs w:val="20"/>
        </w:rPr>
        <w:t xml:space="preserve"> Sciences</w:t>
      </w:r>
      <w:r w:rsidRPr="6F47FC6C" w:rsidR="00CC429D">
        <w:rPr>
          <w:i w:val="1"/>
          <w:iCs w:val="1"/>
          <w:sz w:val="20"/>
          <w:szCs w:val="20"/>
        </w:rPr>
        <w:t>,</w:t>
      </w:r>
      <w:r w:rsidRPr="6F47FC6C" w:rsidR="003949BB">
        <w:rPr>
          <w:i w:val="1"/>
          <w:iCs w:val="1"/>
          <w:sz w:val="20"/>
          <w:szCs w:val="20"/>
        </w:rPr>
        <w:t xml:space="preserve"> </w:t>
      </w:r>
    </w:p>
    <w:p xmlns:wp14="http://schemas.microsoft.com/office/word/2010/wordml" w:rsidR="003E0534" w:rsidP="7F88C4F0" w:rsidRDefault="003E0534" w14:paraId="7F5D69A1" wp14:textId="4628CEEA">
      <w:pPr>
        <w:autoSpaceDE w:val="0"/>
        <w:autoSpaceDN w:val="0"/>
        <w:adjustRightInd w:val="0"/>
        <w:ind/>
        <w:jc w:val="center"/>
        <w:rPr>
          <w:sz w:val="20"/>
          <w:szCs w:val="20"/>
        </w:rPr>
      </w:pPr>
      <w:r w:rsidRPr="7F88C4F0" w:rsidR="395B3BDD">
        <w:rPr>
          <w:i w:val="1"/>
          <w:iCs w:val="1"/>
          <w:sz w:val="20"/>
          <w:szCs w:val="20"/>
        </w:rPr>
        <w:t>Novi Sad</w:t>
      </w:r>
      <w:r w:rsidRPr="7F88C4F0" w:rsidR="005E0E65">
        <w:rPr>
          <w:i w:val="1"/>
          <w:iCs w:val="1"/>
          <w:sz w:val="20"/>
          <w:szCs w:val="20"/>
        </w:rPr>
        <w:t>, Serbia</w:t>
      </w:r>
    </w:p>
    <w:p xmlns:wp14="http://schemas.microsoft.com/office/word/2010/wordml" w:rsidR="003E0534" w:rsidP="6F47FC6C" w:rsidRDefault="003E0534" w14:paraId="0A37501D" wp14:textId="0AF9C985">
      <w:pPr>
        <w:autoSpaceDE w:val="0"/>
        <w:autoSpaceDN w:val="0"/>
        <w:adjustRightInd w:val="0"/>
        <w:ind/>
        <w:jc w:val="center"/>
        <w:rPr>
          <w:sz w:val="20"/>
          <w:szCs w:val="20"/>
        </w:rPr>
      </w:pPr>
      <w:r w:rsidRPr="7F88C4F0" w:rsidR="004E3764">
        <w:rPr>
          <w:sz w:val="20"/>
          <w:szCs w:val="20"/>
        </w:rPr>
        <w:t>e</w:t>
      </w:r>
      <w:r w:rsidRPr="7F88C4F0" w:rsidR="00CC429D">
        <w:rPr>
          <w:sz w:val="20"/>
          <w:szCs w:val="20"/>
        </w:rPr>
        <w:t>-mail:</w:t>
      </w:r>
      <w:r w:rsidRPr="7F88C4F0" w:rsidR="59872F0A">
        <w:rPr>
          <w:sz w:val="20"/>
          <w:szCs w:val="20"/>
        </w:rPr>
        <w:t xml:space="preserve"> </w:t>
      </w:r>
      <w:r w:rsidRPr="7F88C4F0" w:rsidR="3B794551">
        <w:rPr>
          <w:sz w:val="20"/>
          <w:szCs w:val="20"/>
        </w:rPr>
        <w:t>milos.arbanas@uns.ac.rs</w:t>
      </w:r>
    </w:p>
    <w:p xmlns:wp14="http://schemas.microsoft.com/office/word/2010/wordml" w:rsidR="003E0534" w:rsidP="003E0534" w:rsidRDefault="003E0534" w14:paraId="5DAB6C7B" wp14:textId="777777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xmlns:wp14="http://schemas.microsoft.com/office/word/2010/wordml" w:rsidR="003949BB" w:rsidP="7F88C4F0" w:rsidRDefault="003949BB" w14:paraId="7906D5C0" wp14:textId="5325215A">
      <w:pPr>
        <w:pStyle w:val="Normal"/>
        <w:autoSpaceDE w:val="0"/>
        <w:autoSpaceDN w:val="0"/>
        <w:adjustRightInd w:val="0"/>
        <w:jc w:val="both"/>
        <w:rPr>
          <w:i w:val="0"/>
          <w:iCs w:val="0"/>
          <w:sz w:val="22"/>
          <w:szCs w:val="22"/>
        </w:rPr>
      </w:pPr>
      <w:r w:rsidRPr="7F88C4F0" w:rsidR="3D769036">
        <w:rPr>
          <w:i w:val="1"/>
          <w:iCs w:val="1"/>
          <w:sz w:val="22"/>
          <w:szCs w:val="22"/>
        </w:rPr>
        <w:t>Abstract –</w:t>
      </w:r>
      <w:r w:rsidRPr="7F88C4F0" w:rsidR="5343519F">
        <w:rPr>
          <w:i w:val="1"/>
          <w:iCs w:val="1"/>
          <w:sz w:val="22"/>
          <w:szCs w:val="22"/>
        </w:rPr>
        <w:t xml:space="preserve"> </w:t>
      </w:r>
      <w:r w:rsidRPr="7F88C4F0" w:rsidR="5343519F">
        <w:rPr>
          <w:i w:val="0"/>
          <w:iCs w:val="0"/>
          <w:sz w:val="22"/>
          <w:szCs w:val="22"/>
        </w:rPr>
        <w:t>As the world of IoT</w:t>
      </w:r>
      <w:r w:rsidRPr="7F88C4F0" w:rsidR="185DB27D">
        <w:rPr>
          <w:i w:val="0"/>
          <w:iCs w:val="0"/>
          <w:sz w:val="22"/>
          <w:szCs w:val="22"/>
        </w:rPr>
        <w:t>,</w:t>
      </w:r>
      <w:r w:rsidRPr="7F88C4F0" w:rsidR="5343519F">
        <w:rPr>
          <w:i w:val="0"/>
          <w:iCs w:val="0"/>
          <w:sz w:val="22"/>
          <w:szCs w:val="22"/>
        </w:rPr>
        <w:t xml:space="preserve"> and sensor-data gathering is becoming</w:t>
      </w:r>
      <w:r w:rsidRPr="7F88C4F0" w:rsidR="15D8A62D">
        <w:rPr>
          <w:i w:val="0"/>
          <w:iCs w:val="0"/>
          <w:sz w:val="22"/>
          <w:szCs w:val="22"/>
        </w:rPr>
        <w:t xml:space="preserve"> more</w:t>
      </w:r>
      <w:r w:rsidRPr="7F88C4F0" w:rsidR="4A34BEB8">
        <w:rPr>
          <w:i w:val="0"/>
          <w:iCs w:val="0"/>
          <w:sz w:val="22"/>
          <w:szCs w:val="22"/>
        </w:rPr>
        <w:t xml:space="preserve"> widespread, </w:t>
      </w:r>
      <w:r w:rsidRPr="7F88C4F0" w:rsidR="11723DC9">
        <w:rPr>
          <w:i w:val="0"/>
          <w:iCs w:val="0"/>
          <w:sz w:val="22"/>
          <w:szCs w:val="22"/>
        </w:rPr>
        <w:t xml:space="preserve">reducing the </w:t>
      </w:r>
      <w:r w:rsidRPr="7F88C4F0" w:rsidR="4A34BEB8">
        <w:rPr>
          <w:i w:val="0"/>
          <w:iCs w:val="0"/>
          <w:sz w:val="22"/>
          <w:szCs w:val="22"/>
        </w:rPr>
        <w:t xml:space="preserve">cost of each sensor system is </w:t>
      </w:r>
      <w:r w:rsidRPr="7F88C4F0" w:rsidR="3D6791F0">
        <w:rPr>
          <w:i w:val="0"/>
          <w:iCs w:val="0"/>
          <w:sz w:val="22"/>
          <w:szCs w:val="22"/>
        </w:rPr>
        <w:t>becoming an important factor.</w:t>
      </w:r>
      <w:r w:rsidRPr="7F88C4F0" w:rsidR="3D769036">
        <w:rPr>
          <w:i w:val="1"/>
          <w:iCs w:val="1"/>
          <w:sz w:val="22"/>
          <w:szCs w:val="22"/>
        </w:rPr>
        <w:t xml:space="preserve"> </w:t>
      </w:r>
      <w:r w:rsidRPr="7F88C4F0" w:rsidR="70407E3F">
        <w:rPr>
          <w:i w:val="0"/>
          <w:iCs w:val="0"/>
          <w:sz w:val="22"/>
          <w:szCs w:val="22"/>
        </w:rPr>
        <w:t>In this paper</w:t>
      </w:r>
      <w:r w:rsidRPr="7F88C4F0" w:rsidR="3792AD72">
        <w:rPr>
          <w:i w:val="0"/>
          <w:iCs w:val="0"/>
          <w:sz w:val="22"/>
          <w:szCs w:val="22"/>
        </w:rPr>
        <w:t xml:space="preserve"> reducing</w:t>
      </w:r>
      <w:r w:rsidRPr="7F88C4F0" w:rsidR="70407E3F">
        <w:rPr>
          <w:i w:val="0"/>
          <w:iCs w:val="0"/>
          <w:sz w:val="22"/>
          <w:szCs w:val="22"/>
        </w:rPr>
        <w:t xml:space="preserve"> the number of </w:t>
      </w:r>
      <w:r w:rsidRPr="7F88C4F0" w:rsidR="58A50373">
        <w:rPr>
          <w:i w:val="0"/>
          <w:iCs w:val="0"/>
          <w:sz w:val="22"/>
          <w:szCs w:val="22"/>
        </w:rPr>
        <w:t>necessary</w:t>
      </w:r>
      <w:r w:rsidRPr="7F88C4F0" w:rsidR="21431F2F">
        <w:rPr>
          <w:i w:val="0"/>
          <w:iCs w:val="0"/>
          <w:sz w:val="22"/>
          <w:szCs w:val="22"/>
        </w:rPr>
        <w:t xml:space="preserve"> </w:t>
      </w:r>
      <w:r w:rsidRPr="7F88C4F0" w:rsidR="10BDD2EA">
        <w:rPr>
          <w:i w:val="0"/>
          <w:iCs w:val="0"/>
          <w:sz w:val="22"/>
          <w:szCs w:val="22"/>
        </w:rPr>
        <w:t>measuring points</w:t>
      </w:r>
      <w:r w:rsidRPr="7F88C4F0" w:rsidR="21431F2F">
        <w:rPr>
          <w:i w:val="0"/>
          <w:iCs w:val="0"/>
          <w:sz w:val="22"/>
          <w:szCs w:val="22"/>
        </w:rPr>
        <w:t xml:space="preserve"> for estimating a reflected electromagnetic spectrum is pre</w:t>
      </w:r>
      <w:r w:rsidRPr="7F88C4F0" w:rsidR="43CCA95D">
        <w:rPr>
          <w:i w:val="0"/>
          <w:iCs w:val="0"/>
          <w:sz w:val="22"/>
          <w:szCs w:val="22"/>
        </w:rPr>
        <w:t>sented. In our previous work</w:t>
      </w:r>
      <w:r w:rsidRPr="7F88C4F0" w:rsidR="48C46C11">
        <w:rPr>
          <w:i w:val="0"/>
          <w:iCs w:val="0"/>
          <w:sz w:val="22"/>
          <w:szCs w:val="22"/>
        </w:rPr>
        <w:t xml:space="preserve"> </w:t>
      </w:r>
      <w:r w:rsidRPr="7F88C4F0" w:rsidR="41141842">
        <w:rPr>
          <w:i w:val="0"/>
          <w:iCs w:val="0"/>
          <w:sz w:val="22"/>
          <w:szCs w:val="22"/>
        </w:rPr>
        <w:t>[1]</w:t>
      </w:r>
      <w:r w:rsidRPr="7F88C4F0" w:rsidR="43CCA95D">
        <w:rPr>
          <w:i w:val="0"/>
          <w:iCs w:val="0"/>
          <w:sz w:val="22"/>
          <w:szCs w:val="22"/>
        </w:rPr>
        <w:t>, a machine learning-based method was</w:t>
      </w:r>
      <w:r w:rsidRPr="7F88C4F0" w:rsidR="3BC19778">
        <w:rPr>
          <w:i w:val="0"/>
          <w:iCs w:val="0"/>
          <w:sz w:val="22"/>
          <w:szCs w:val="22"/>
        </w:rPr>
        <w:t xml:space="preserve"> proven</w:t>
      </w:r>
      <w:r w:rsidRPr="7F88C4F0" w:rsidR="1651962D">
        <w:rPr>
          <w:i w:val="0"/>
          <w:iCs w:val="0"/>
          <w:sz w:val="22"/>
          <w:szCs w:val="22"/>
        </w:rPr>
        <w:t xml:space="preserve"> to be</w:t>
      </w:r>
      <w:r w:rsidRPr="7F88C4F0" w:rsidR="43CCA95D">
        <w:rPr>
          <w:i w:val="0"/>
          <w:iCs w:val="0"/>
          <w:sz w:val="22"/>
          <w:szCs w:val="22"/>
        </w:rPr>
        <w:t xml:space="preserve"> superior</w:t>
      </w:r>
      <w:r w:rsidRPr="7F88C4F0" w:rsidR="60B01558">
        <w:rPr>
          <w:i w:val="0"/>
          <w:iCs w:val="0"/>
          <w:sz w:val="22"/>
          <w:szCs w:val="22"/>
        </w:rPr>
        <w:t xml:space="preserve"> to Cubic Hermite </w:t>
      </w:r>
      <w:r w:rsidRPr="7F88C4F0" w:rsidR="39531A07">
        <w:rPr>
          <w:i w:val="0"/>
          <w:iCs w:val="0"/>
          <w:sz w:val="22"/>
          <w:szCs w:val="22"/>
        </w:rPr>
        <w:t>interpolation</w:t>
      </w:r>
      <w:r w:rsidRPr="7F88C4F0" w:rsidR="519FA34E">
        <w:rPr>
          <w:i w:val="0"/>
          <w:iCs w:val="0"/>
          <w:sz w:val="22"/>
          <w:szCs w:val="22"/>
        </w:rPr>
        <w:t xml:space="preserve"> in estimating spectrum based on six measured values</w:t>
      </w:r>
      <w:r w:rsidRPr="7F88C4F0" w:rsidR="39531A07">
        <w:rPr>
          <w:i w:val="0"/>
          <w:iCs w:val="0"/>
          <w:sz w:val="22"/>
          <w:szCs w:val="22"/>
        </w:rPr>
        <w:t>.</w:t>
      </w:r>
      <w:r w:rsidRPr="7F88C4F0" w:rsidR="4874A506">
        <w:rPr>
          <w:i w:val="0"/>
          <w:iCs w:val="0"/>
          <w:sz w:val="22"/>
          <w:szCs w:val="22"/>
        </w:rPr>
        <w:t xml:space="preserve"> </w:t>
      </w:r>
      <w:r w:rsidRPr="7F88C4F0" w:rsidR="0B44CDE9">
        <w:rPr>
          <w:i w:val="0"/>
          <w:iCs w:val="0"/>
          <w:sz w:val="22"/>
          <w:szCs w:val="22"/>
        </w:rPr>
        <w:t xml:space="preserve">Now the </w:t>
      </w:r>
      <w:r w:rsidRPr="7F88C4F0" w:rsidR="75EF5F35">
        <w:rPr>
          <w:i w:val="0"/>
          <w:iCs w:val="0"/>
          <w:sz w:val="22"/>
          <w:szCs w:val="22"/>
        </w:rPr>
        <w:t xml:space="preserve">new hypothesis is that the </w:t>
      </w:r>
      <w:r w:rsidRPr="7F88C4F0" w:rsidR="1C54AE55">
        <w:rPr>
          <w:i w:val="0"/>
          <w:iCs w:val="0"/>
          <w:sz w:val="22"/>
          <w:szCs w:val="22"/>
        </w:rPr>
        <w:t xml:space="preserve">number of </w:t>
      </w:r>
      <w:r w:rsidRPr="7F88C4F0" w:rsidR="6947BA0A">
        <w:rPr>
          <w:i w:val="0"/>
          <w:iCs w:val="0"/>
          <w:sz w:val="22"/>
          <w:szCs w:val="22"/>
        </w:rPr>
        <w:t>measuring points</w:t>
      </w:r>
      <w:r w:rsidRPr="7F88C4F0" w:rsidR="1C54AE55">
        <w:rPr>
          <w:i w:val="0"/>
          <w:iCs w:val="0"/>
          <w:sz w:val="22"/>
          <w:szCs w:val="22"/>
        </w:rPr>
        <w:t xml:space="preserve"> could be decreased without the significant loss of spectrum estimation.</w:t>
      </w:r>
      <w:r w:rsidRPr="7F88C4F0" w:rsidR="028EC664">
        <w:rPr>
          <w:i w:val="0"/>
          <w:iCs w:val="0"/>
          <w:sz w:val="22"/>
          <w:szCs w:val="22"/>
        </w:rPr>
        <w:t xml:space="preserve"> The output of the system is formed out of thirty-six points </w:t>
      </w:r>
      <w:r w:rsidRPr="7F88C4F0" w:rsidR="108CC2C1">
        <w:rPr>
          <w:i w:val="0"/>
          <w:iCs w:val="0"/>
          <w:sz w:val="22"/>
          <w:szCs w:val="22"/>
        </w:rPr>
        <w:t>in the range of 380-730 nm.</w:t>
      </w:r>
    </w:p>
    <w:p xmlns:wp14="http://schemas.microsoft.com/office/word/2010/wordml" w:rsidR="003949BB" w:rsidP="6F47FC6C" w:rsidRDefault="003949BB" w14:paraId="49C8D1B7" wp14:textId="76ADD4B6">
      <w:pPr>
        <w:pStyle w:val="Normal"/>
        <w:autoSpaceDE w:val="0"/>
        <w:autoSpaceDN w:val="0"/>
        <w:adjustRightInd w:val="0"/>
        <w:jc w:val="center"/>
      </w:pPr>
    </w:p>
    <w:p xmlns:wp14="http://schemas.microsoft.com/office/word/2010/wordml" w:rsidR="003949BB" w:rsidP="6F47FC6C" w:rsidRDefault="003949BB" w14:paraId="2D2E0406" wp14:textId="454432F8">
      <w:pPr>
        <w:pStyle w:val="Normal"/>
        <w:autoSpaceDE w:val="0"/>
        <w:autoSpaceDN w:val="0"/>
        <w:adjustRightInd w:val="0"/>
        <w:jc w:val="center"/>
        <w:rPr>
          <w:sz w:val="24"/>
          <w:szCs w:val="24"/>
        </w:rPr>
      </w:pPr>
      <w:r w:rsidR="48DD251D">
        <w:drawing>
          <wp:inline xmlns:wp14="http://schemas.microsoft.com/office/word/2010/wordprocessingDrawing" wp14:editId="2D76E884" wp14:anchorId="731170DF">
            <wp:extent cx="2609850" cy="1609564"/>
            <wp:effectExtent l="0" t="0" r="0" b="0"/>
            <wp:docPr id="18610952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fcc73268e94e8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754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09850" cy="160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949BB" w:rsidP="6F47FC6C" w:rsidRDefault="003949BB" w14:paraId="720C835F" wp14:textId="3CB01480">
      <w:pPr>
        <w:autoSpaceDE w:val="0"/>
        <w:autoSpaceDN w:val="0"/>
        <w:adjustRightInd w:val="0"/>
        <w:spacing w:after="240"/>
        <w:ind w:firstLine="357"/>
        <w:jc w:val="center"/>
        <w:rPr>
          <w:sz w:val="20"/>
          <w:szCs w:val="20"/>
          <w:lang w:val="sr-Latn-CS"/>
        </w:rPr>
      </w:pPr>
      <w:r w:rsidRPr="6F47FC6C" w:rsidR="526FEA26">
        <w:rPr>
          <w:sz w:val="20"/>
          <w:szCs w:val="20"/>
        </w:rPr>
        <w:t>Figure</w:t>
      </w:r>
      <w:r w:rsidRPr="6F47FC6C" w:rsidR="526FEA26">
        <w:rPr>
          <w:sz w:val="20"/>
          <w:szCs w:val="20"/>
          <w:lang w:val="sr-Latn-CS"/>
        </w:rPr>
        <w:t xml:space="preserve"> 1. </w:t>
      </w:r>
      <w:r w:rsidRPr="6F47FC6C" w:rsidR="526FEA26">
        <w:rPr>
          <w:sz w:val="20"/>
          <w:szCs w:val="20"/>
        </w:rPr>
        <w:t xml:space="preserve">Example of spectrum estimation </w:t>
      </w:r>
      <w:r w:rsidRPr="6F47FC6C" w:rsidR="5A8B8241">
        <w:rPr>
          <w:sz w:val="20"/>
          <w:szCs w:val="20"/>
        </w:rPr>
        <w:t>based on six LED sources</w:t>
      </w:r>
      <w:r w:rsidRPr="6F47FC6C" w:rsidR="526FEA26">
        <w:rPr>
          <w:sz w:val="20"/>
          <w:szCs w:val="20"/>
          <w:lang w:val="sr-Latn-CS"/>
        </w:rPr>
        <w:t>.</w:t>
      </w:r>
    </w:p>
    <w:p xmlns:wp14="http://schemas.microsoft.com/office/word/2010/wordml" w:rsidR="003949BB" w:rsidP="7F88C4F0" w:rsidRDefault="003949BB" w14:paraId="27AD12C6" wp14:textId="4E642777">
      <w:pPr>
        <w:pStyle w:val="Normal"/>
        <w:autoSpaceDE w:val="0"/>
        <w:autoSpaceDN w:val="0"/>
        <w:adjustRightInd w:val="0"/>
        <w:jc w:val="both"/>
        <w:rPr>
          <w:i w:val="0"/>
          <w:iCs w:val="0"/>
          <w:sz w:val="22"/>
          <w:szCs w:val="22"/>
        </w:rPr>
      </w:pPr>
      <w:r w:rsidRPr="7F88C4F0" w:rsidR="467A9100">
        <w:rPr>
          <w:i w:val="0"/>
          <w:iCs w:val="0"/>
          <w:sz w:val="22"/>
          <w:szCs w:val="22"/>
        </w:rPr>
        <w:t>The spectral radiation power of</w:t>
      </w:r>
      <w:r w:rsidRPr="7F88C4F0" w:rsidR="6D62BF8C">
        <w:rPr>
          <w:i w:val="0"/>
          <w:iCs w:val="0"/>
          <w:sz w:val="22"/>
          <w:szCs w:val="22"/>
        </w:rPr>
        <w:t xml:space="preserve"> six</w:t>
      </w:r>
      <w:r w:rsidRPr="7F88C4F0" w:rsidR="467A9100">
        <w:rPr>
          <w:i w:val="0"/>
          <w:iCs w:val="0"/>
          <w:sz w:val="22"/>
          <w:szCs w:val="22"/>
        </w:rPr>
        <w:t xml:space="preserve"> proposed LED sources is at 400 nm, 457 nm, 517 nm, 572 nm, 632 nm and 700 nm.</w:t>
      </w:r>
      <w:r w:rsidRPr="7F88C4F0" w:rsidR="2E962E1A">
        <w:rPr>
          <w:i w:val="0"/>
          <w:iCs w:val="0"/>
          <w:sz w:val="22"/>
          <w:szCs w:val="22"/>
        </w:rPr>
        <w:t xml:space="preserve"> In Figure 1. the blue triangles present measured values</w:t>
      </w:r>
      <w:r w:rsidRPr="7F88C4F0" w:rsidR="698AB284">
        <w:rPr>
          <w:i w:val="0"/>
          <w:iCs w:val="0"/>
          <w:sz w:val="22"/>
          <w:szCs w:val="22"/>
        </w:rPr>
        <w:t>, blue line estimated spectrum and green line present</w:t>
      </w:r>
      <w:r w:rsidRPr="7F88C4F0" w:rsidR="416511D5">
        <w:rPr>
          <w:i w:val="0"/>
          <w:iCs w:val="0"/>
          <w:sz w:val="22"/>
          <w:szCs w:val="22"/>
        </w:rPr>
        <w:t>s</w:t>
      </w:r>
      <w:r w:rsidRPr="7F88C4F0" w:rsidR="698AB284">
        <w:rPr>
          <w:i w:val="0"/>
          <w:iCs w:val="0"/>
          <w:sz w:val="22"/>
          <w:szCs w:val="22"/>
        </w:rPr>
        <w:t xml:space="preserve"> spectrum attained from a commercial spectrophotometer.</w:t>
      </w:r>
    </w:p>
    <w:p xmlns:wp14="http://schemas.microsoft.com/office/word/2010/wordml" w:rsidR="003949BB" w:rsidP="7F88C4F0" w:rsidRDefault="003949BB" w14:paraId="76D24C53" wp14:textId="383C8777">
      <w:pPr>
        <w:pStyle w:val="Normal"/>
        <w:autoSpaceDE w:val="0"/>
        <w:autoSpaceDN w:val="0"/>
        <w:adjustRightInd w:val="0"/>
        <w:jc w:val="both"/>
        <w:rPr>
          <w:i w:val="0"/>
          <w:iCs w:val="0"/>
          <w:sz w:val="22"/>
          <w:szCs w:val="22"/>
        </w:rPr>
      </w:pPr>
    </w:p>
    <w:p xmlns:wp14="http://schemas.microsoft.com/office/word/2010/wordml" w:rsidR="003949BB" w:rsidP="7F88C4F0" w:rsidRDefault="003949BB" w14:paraId="2677DE11" wp14:textId="373D8AA6">
      <w:pPr>
        <w:pStyle w:val="Normal"/>
        <w:autoSpaceDE w:val="0"/>
        <w:autoSpaceDN w:val="0"/>
        <w:adjustRightInd w:val="0"/>
        <w:jc w:val="both"/>
        <w:rPr>
          <w:i w:val="0"/>
          <w:iCs w:val="0"/>
          <w:sz w:val="22"/>
          <w:szCs w:val="22"/>
        </w:rPr>
      </w:pPr>
      <w:r w:rsidRPr="7F88C4F0" w:rsidR="2E962E1A">
        <w:rPr>
          <w:i w:val="0"/>
          <w:iCs w:val="0"/>
          <w:sz w:val="22"/>
          <w:szCs w:val="22"/>
        </w:rPr>
        <w:t>This paper analyses</w:t>
      </w:r>
      <w:r w:rsidRPr="7F88C4F0" w:rsidR="017428BD">
        <w:rPr>
          <w:i w:val="0"/>
          <w:iCs w:val="0"/>
          <w:sz w:val="22"/>
          <w:szCs w:val="22"/>
        </w:rPr>
        <w:t xml:space="preserve"> the</w:t>
      </w:r>
      <w:r w:rsidRPr="7F88C4F0" w:rsidR="2E962E1A">
        <w:rPr>
          <w:i w:val="0"/>
          <w:iCs w:val="0"/>
          <w:sz w:val="22"/>
          <w:szCs w:val="22"/>
        </w:rPr>
        <w:t xml:space="preserve"> usage of different combinations of </w:t>
      </w:r>
      <w:r w:rsidRPr="7F88C4F0" w:rsidR="1A214533">
        <w:rPr>
          <w:i w:val="0"/>
          <w:iCs w:val="0"/>
          <w:sz w:val="22"/>
          <w:szCs w:val="22"/>
        </w:rPr>
        <w:t xml:space="preserve">measuring points </w:t>
      </w:r>
      <w:r w:rsidRPr="7F88C4F0" w:rsidR="7415F19B">
        <w:rPr>
          <w:i w:val="0"/>
          <w:iCs w:val="0"/>
          <w:sz w:val="22"/>
          <w:szCs w:val="22"/>
        </w:rPr>
        <w:t xml:space="preserve">and using different machine learning methods </w:t>
      </w:r>
      <w:r w:rsidRPr="7F88C4F0" w:rsidR="090D2E09">
        <w:rPr>
          <w:i w:val="0"/>
          <w:iCs w:val="0"/>
          <w:sz w:val="22"/>
          <w:szCs w:val="22"/>
        </w:rPr>
        <w:t xml:space="preserve">with the end goal of </w:t>
      </w:r>
      <w:r w:rsidRPr="7F88C4F0" w:rsidR="424CB0BC">
        <w:rPr>
          <w:i w:val="0"/>
          <w:iCs w:val="0"/>
          <w:sz w:val="22"/>
          <w:szCs w:val="22"/>
        </w:rPr>
        <w:t xml:space="preserve">significantly reducing the number </w:t>
      </w:r>
      <w:r w:rsidRPr="7F88C4F0" w:rsidR="269ED292">
        <w:rPr>
          <w:i w:val="0"/>
          <w:iCs w:val="0"/>
          <w:sz w:val="22"/>
          <w:szCs w:val="22"/>
        </w:rPr>
        <w:t>measuring points, therefore the number of LED sources</w:t>
      </w:r>
      <w:r w:rsidRPr="7F88C4F0" w:rsidR="37C69AD0">
        <w:rPr>
          <w:i w:val="0"/>
          <w:iCs w:val="0"/>
          <w:sz w:val="22"/>
          <w:szCs w:val="22"/>
        </w:rPr>
        <w:t>.</w:t>
      </w:r>
      <w:r w:rsidRPr="7F88C4F0" w:rsidR="7842AC99">
        <w:rPr>
          <w:i w:val="0"/>
          <w:iCs w:val="0"/>
          <w:sz w:val="22"/>
          <w:szCs w:val="22"/>
        </w:rPr>
        <w:t xml:space="preserve"> The different combinations of measuring points are used as inputs to ANN (Artificial Neural Networks), the network is</w:t>
      </w:r>
      <w:r w:rsidRPr="7F88C4F0" w:rsidR="4A726DAD">
        <w:rPr>
          <w:i w:val="0"/>
          <w:iCs w:val="0"/>
          <w:sz w:val="22"/>
          <w:szCs w:val="22"/>
        </w:rPr>
        <w:t xml:space="preserve"> then</w:t>
      </w:r>
      <w:r w:rsidRPr="7F88C4F0" w:rsidR="7842AC99">
        <w:rPr>
          <w:i w:val="0"/>
          <w:iCs w:val="0"/>
          <w:sz w:val="22"/>
          <w:szCs w:val="22"/>
        </w:rPr>
        <w:t xml:space="preserve"> trained using dataset</w:t>
      </w:r>
      <w:r w:rsidRPr="7F88C4F0" w:rsidR="4E868C4B">
        <w:rPr>
          <w:i w:val="0"/>
          <w:iCs w:val="0"/>
          <w:sz w:val="22"/>
          <w:szCs w:val="22"/>
        </w:rPr>
        <w:t xml:space="preserve"> generated by spectrophotometer</w:t>
      </w:r>
      <w:r w:rsidRPr="7F88C4F0" w:rsidR="08B74108">
        <w:rPr>
          <w:i w:val="0"/>
          <w:iCs w:val="0"/>
          <w:sz w:val="22"/>
          <w:szCs w:val="22"/>
        </w:rPr>
        <w:t>.</w:t>
      </w:r>
    </w:p>
    <w:p xmlns:wp14="http://schemas.microsoft.com/office/word/2010/wordml" w:rsidR="003949BB" w:rsidP="6F47FC6C" w:rsidRDefault="003949BB" w14:paraId="74E47BA8" wp14:textId="7C5AF0D0">
      <w:pPr>
        <w:pStyle w:val="Normal"/>
        <w:autoSpaceDE w:val="0"/>
        <w:autoSpaceDN w:val="0"/>
        <w:adjustRightInd w:val="0"/>
        <w:jc w:val="both"/>
        <w:rPr>
          <w:i w:val="0"/>
          <w:iCs w:val="0"/>
          <w:sz w:val="24"/>
          <w:szCs w:val="24"/>
        </w:rPr>
      </w:pPr>
    </w:p>
    <w:p xmlns:wp14="http://schemas.microsoft.com/office/word/2010/wordml" w:rsidR="003949BB" w:rsidP="7F88C4F0" w:rsidRDefault="003949BB" w14:paraId="4FF333B5" wp14:textId="47503A97">
      <w:pPr>
        <w:pStyle w:val="Normal"/>
        <w:autoSpaceDE w:val="0"/>
        <w:autoSpaceDN w:val="0"/>
        <w:adjustRightInd w:val="0"/>
        <w:jc w:val="both"/>
        <w:rPr>
          <w:i w:val="0"/>
          <w:iCs w:val="0"/>
          <w:sz w:val="24"/>
          <w:szCs w:val="24"/>
        </w:rPr>
      </w:pPr>
      <w:r w:rsidRPr="7F88C4F0" w:rsidR="108CC2C1">
        <w:rPr>
          <w:i w:val="0"/>
          <w:iCs w:val="0"/>
          <w:sz w:val="22"/>
          <w:szCs w:val="22"/>
        </w:rPr>
        <w:t>Colorimetric capabilities of the different combinations</w:t>
      </w:r>
      <w:r w:rsidRPr="7F88C4F0" w:rsidR="1CDD9BC1">
        <w:rPr>
          <w:i w:val="0"/>
          <w:iCs w:val="0"/>
          <w:sz w:val="22"/>
          <w:szCs w:val="22"/>
        </w:rPr>
        <w:t xml:space="preserve"> of the</w:t>
      </w:r>
      <w:r w:rsidRPr="7F88C4F0" w:rsidR="108CC2C1">
        <w:rPr>
          <w:i w:val="0"/>
          <w:iCs w:val="0"/>
          <w:sz w:val="22"/>
          <w:szCs w:val="22"/>
        </w:rPr>
        <w:t xml:space="preserve"> </w:t>
      </w:r>
      <w:r w:rsidRPr="7F88C4F0" w:rsidR="56B05D80">
        <w:rPr>
          <w:i w:val="0"/>
          <w:iCs w:val="0"/>
          <w:sz w:val="22"/>
          <w:szCs w:val="22"/>
        </w:rPr>
        <w:t>measuring points</w:t>
      </w:r>
      <w:r w:rsidRPr="7F88C4F0" w:rsidR="108CC2C1">
        <w:rPr>
          <w:i w:val="0"/>
          <w:iCs w:val="0"/>
          <w:sz w:val="22"/>
          <w:szCs w:val="22"/>
        </w:rPr>
        <w:t xml:space="preserve"> are compared</w:t>
      </w:r>
      <w:r w:rsidRPr="7F88C4F0" w:rsidR="051F7632">
        <w:rPr>
          <w:i w:val="0"/>
          <w:iCs w:val="0"/>
          <w:sz w:val="22"/>
          <w:szCs w:val="22"/>
        </w:rPr>
        <w:t xml:space="preserve"> with each other as well as</w:t>
      </w:r>
      <w:r w:rsidRPr="7F88C4F0" w:rsidR="108CC2C1">
        <w:rPr>
          <w:i w:val="0"/>
          <w:iCs w:val="0"/>
          <w:sz w:val="22"/>
          <w:szCs w:val="22"/>
        </w:rPr>
        <w:t xml:space="preserve"> with a commercial spectrophotometer</w:t>
      </w:r>
      <w:r w:rsidRPr="7F88C4F0" w:rsidR="108CC2C1">
        <w:rPr>
          <w:i w:val="0"/>
          <w:iCs w:val="0"/>
          <w:sz w:val="22"/>
          <w:szCs w:val="22"/>
        </w:rPr>
        <w:t>.</w:t>
      </w:r>
    </w:p>
    <w:p w:rsidR="6F47FC6C" w:rsidP="7F88C4F0" w:rsidRDefault="6F47FC6C" w14:paraId="7434C31A" w14:textId="7E2FC016">
      <w:pPr>
        <w:pStyle w:val="Normal"/>
        <w:jc w:val="both"/>
        <w:rPr>
          <w:i w:val="0"/>
          <w:iCs w:val="0"/>
          <w:sz w:val="24"/>
          <w:szCs w:val="24"/>
        </w:rPr>
      </w:pPr>
    </w:p>
    <w:p xmlns:wp14="http://schemas.microsoft.com/office/word/2010/wordml" w:rsidRPr="00F931A8" w:rsidR="00CC429D" w:rsidP="002344D6" w:rsidRDefault="00CC429D" w14:paraId="7797E7DE" wp14:textId="77777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xmlns:wp14="http://schemas.microsoft.com/office/word/2010/wordml" w:rsidRPr="00F931A8" w:rsidR="00CC429D" w:rsidP="7F88C4F0" w:rsidRDefault="00CC429D" w14:paraId="48612F28" wp14:textId="72BAD93A">
      <w:pPr>
        <w:pStyle w:val="Normal"/>
        <w:autoSpaceDE w:val="0"/>
        <w:autoSpaceDN w:val="0"/>
        <w:adjustRightInd w:val="0"/>
        <w:jc w:val="both"/>
        <w:rPr>
          <w:i w:val="1"/>
          <w:iCs w:val="1"/>
          <w:sz w:val="24"/>
          <w:szCs w:val="24"/>
        </w:rPr>
      </w:pPr>
      <w:r w:rsidRPr="7F88C4F0" w:rsidR="00CC429D">
        <w:rPr>
          <w:sz w:val="22"/>
          <w:szCs w:val="22"/>
        </w:rPr>
        <w:t xml:space="preserve">[1] </w:t>
      </w:r>
      <w:r w:rsidRPr="7F88C4F0" w:rsidR="2E648738">
        <w:rPr>
          <w:sz w:val="22"/>
          <w:szCs w:val="22"/>
        </w:rPr>
        <w:t xml:space="preserve">B. Batinić, M. Arbanas, J. Bajić, S. </w:t>
      </w:r>
      <w:proofErr w:type="spellStart"/>
      <w:r w:rsidRPr="7F88C4F0" w:rsidR="2E648738">
        <w:rPr>
          <w:sz w:val="22"/>
          <w:szCs w:val="22"/>
        </w:rPr>
        <w:t>Dedijer</w:t>
      </w:r>
      <w:proofErr w:type="spellEnd"/>
      <w:r w:rsidRPr="7F88C4F0" w:rsidR="2E648738">
        <w:rPr>
          <w:sz w:val="22"/>
          <w:szCs w:val="22"/>
        </w:rPr>
        <w:t xml:space="preserve">, V. Rajs, N. </w:t>
      </w:r>
      <w:proofErr w:type="spellStart"/>
      <w:r w:rsidRPr="7F88C4F0" w:rsidR="2E648738">
        <w:rPr>
          <w:sz w:val="22"/>
          <w:szCs w:val="22"/>
        </w:rPr>
        <w:t>Laković</w:t>
      </w:r>
      <w:proofErr w:type="spellEnd"/>
      <w:r w:rsidRPr="7F88C4F0" w:rsidR="2E648738">
        <w:rPr>
          <w:sz w:val="22"/>
          <w:szCs w:val="22"/>
        </w:rPr>
        <w:t xml:space="preserve">, N. </w:t>
      </w:r>
      <w:proofErr w:type="spellStart"/>
      <w:r w:rsidRPr="7F88C4F0" w:rsidR="2E648738">
        <w:rPr>
          <w:sz w:val="22"/>
          <w:szCs w:val="22"/>
        </w:rPr>
        <w:t>Kulundžić</w:t>
      </w:r>
      <w:proofErr w:type="spellEnd"/>
      <w:r w:rsidRPr="7F88C4F0" w:rsidR="294DD7D1">
        <w:rPr>
          <w:sz w:val="22"/>
          <w:szCs w:val="22"/>
        </w:rPr>
        <w:t>.,</w:t>
      </w:r>
      <w:r w:rsidRPr="7F88C4F0" w:rsidR="7C089CAC">
        <w:rPr>
          <w:sz w:val="22"/>
          <w:szCs w:val="22"/>
        </w:rPr>
        <w:t xml:space="preserve"> Using machine learning for improvement of reflected spectrum estimations of colorimetric probe</w:t>
      </w:r>
      <w:r w:rsidRPr="7F88C4F0" w:rsidR="4B26771B">
        <w:rPr>
          <w:sz w:val="22"/>
          <w:szCs w:val="22"/>
        </w:rPr>
        <w:t>;</w:t>
      </w:r>
      <w:r w:rsidRPr="7F88C4F0" w:rsidR="7C089CAC">
        <w:rPr>
          <w:i w:val="1"/>
          <w:iCs w:val="1"/>
          <w:sz w:val="22"/>
          <w:szCs w:val="22"/>
        </w:rPr>
        <w:t xml:space="preserve"> </w:t>
      </w:r>
      <w:r w:rsidRPr="7F88C4F0" w:rsidR="10FD7BD0">
        <w:rPr>
          <w:i w:val="0"/>
          <w:iCs w:val="0"/>
          <w:sz w:val="22"/>
          <w:szCs w:val="22"/>
        </w:rPr>
        <w:t xml:space="preserve">IEEE Transactions on Instrumentation and Measurement </w:t>
      </w:r>
      <w:proofErr w:type="gramStart"/>
      <w:r w:rsidRPr="7F88C4F0" w:rsidR="10FD7BD0">
        <w:rPr>
          <w:i w:val="0"/>
          <w:iCs w:val="0"/>
          <w:sz w:val="22"/>
          <w:szCs w:val="22"/>
        </w:rPr>
        <w:t>PP(</w:t>
      </w:r>
      <w:proofErr w:type="gramEnd"/>
      <w:r w:rsidRPr="7F88C4F0" w:rsidR="10FD7BD0">
        <w:rPr>
          <w:i w:val="0"/>
          <w:iCs w:val="0"/>
          <w:sz w:val="22"/>
          <w:szCs w:val="22"/>
        </w:rPr>
        <w:t>99)</w:t>
      </w:r>
      <w:r w:rsidRPr="7F88C4F0" w:rsidR="56502407">
        <w:rPr>
          <w:i w:val="0"/>
          <w:iCs w:val="0"/>
          <w:sz w:val="22"/>
          <w:szCs w:val="22"/>
        </w:rPr>
        <w:t>, August 2020</w:t>
      </w:r>
    </w:p>
    <w:p w:rsidR="00CC429D" w:rsidP="7F88C4F0" w:rsidRDefault="00CC429D" w14:paraId="15503846" w14:textId="5CFB3AE9">
      <w:pPr>
        <w:jc w:val="both"/>
        <w:rPr>
          <w:i w:val="1"/>
          <w:iCs w:val="1"/>
          <w:sz w:val="22"/>
          <w:szCs w:val="22"/>
        </w:rPr>
      </w:pPr>
      <w:r w:rsidRPr="7F88C4F0" w:rsidR="00CC429D">
        <w:rPr>
          <w:sz w:val="22"/>
          <w:szCs w:val="22"/>
        </w:rPr>
        <w:t xml:space="preserve">[2] </w:t>
      </w:r>
      <w:proofErr w:type="spellStart"/>
      <w:r w:rsidRPr="7F88C4F0" w:rsidR="5D6DB683">
        <w:rPr>
          <w:sz w:val="22"/>
          <w:szCs w:val="22"/>
        </w:rPr>
        <w:t>Haykin</w:t>
      </w:r>
      <w:proofErr w:type="spellEnd"/>
      <w:r w:rsidRPr="7F88C4F0" w:rsidR="5D6DB683">
        <w:rPr>
          <w:sz w:val="22"/>
          <w:szCs w:val="22"/>
        </w:rPr>
        <w:t xml:space="preserve">, S., Neural Networks: A Comprehensive Foundation, 2nd ed.; </w:t>
      </w:r>
      <w:r w:rsidRPr="7F88C4F0" w:rsidR="5D6DB683">
        <w:rPr>
          <w:i w:val="0"/>
          <w:iCs w:val="0"/>
          <w:sz w:val="22"/>
          <w:szCs w:val="22"/>
        </w:rPr>
        <w:t>Prentice-Hall, Englewood Cliffs, NJ, USA, 1999.</w:t>
      </w:r>
    </w:p>
    <w:sectPr w:rsidRPr="00E23BD2" w:rsidR="00CC429D" w:rsidSect="006A6C19">
      <w:pgSz w:w="11907" w:h="16840" w:orient="portrait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7E31"/>
    <w:rsid w:val="000A3267"/>
    <w:rsid w:val="000E24E1"/>
    <w:rsid w:val="0010060E"/>
    <w:rsid w:val="0016793B"/>
    <w:rsid w:val="0019259C"/>
    <w:rsid w:val="001C4C2D"/>
    <w:rsid w:val="001E5803"/>
    <w:rsid w:val="002344D6"/>
    <w:rsid w:val="00284FA3"/>
    <w:rsid w:val="002D3E49"/>
    <w:rsid w:val="00336A61"/>
    <w:rsid w:val="003949BB"/>
    <w:rsid w:val="003B0B4A"/>
    <w:rsid w:val="003E0534"/>
    <w:rsid w:val="003E78D2"/>
    <w:rsid w:val="004E3764"/>
    <w:rsid w:val="005243C5"/>
    <w:rsid w:val="005C083B"/>
    <w:rsid w:val="005E0E65"/>
    <w:rsid w:val="00614221"/>
    <w:rsid w:val="006316BB"/>
    <w:rsid w:val="00634539"/>
    <w:rsid w:val="006A6C19"/>
    <w:rsid w:val="006C1B0C"/>
    <w:rsid w:val="006F1839"/>
    <w:rsid w:val="00731D38"/>
    <w:rsid w:val="007714E1"/>
    <w:rsid w:val="00787C90"/>
    <w:rsid w:val="00817F14"/>
    <w:rsid w:val="00887745"/>
    <w:rsid w:val="00933B5B"/>
    <w:rsid w:val="00937560"/>
    <w:rsid w:val="009530BA"/>
    <w:rsid w:val="0098310E"/>
    <w:rsid w:val="00991AF1"/>
    <w:rsid w:val="009E1E5E"/>
    <w:rsid w:val="00A64658"/>
    <w:rsid w:val="00AB49CF"/>
    <w:rsid w:val="00AF194F"/>
    <w:rsid w:val="00B16F0D"/>
    <w:rsid w:val="00B215E4"/>
    <w:rsid w:val="00B95BFF"/>
    <w:rsid w:val="00BF5067"/>
    <w:rsid w:val="00C31D69"/>
    <w:rsid w:val="00C96B61"/>
    <w:rsid w:val="00CC429D"/>
    <w:rsid w:val="00CD7FD3"/>
    <w:rsid w:val="00D32527"/>
    <w:rsid w:val="00E23BD2"/>
    <w:rsid w:val="00E2743A"/>
    <w:rsid w:val="00EC6F4C"/>
    <w:rsid w:val="00F04C82"/>
    <w:rsid w:val="00F931A8"/>
    <w:rsid w:val="00FB463F"/>
    <w:rsid w:val="017428BD"/>
    <w:rsid w:val="01C25A01"/>
    <w:rsid w:val="028EC664"/>
    <w:rsid w:val="02CF33F5"/>
    <w:rsid w:val="0361B586"/>
    <w:rsid w:val="03FF1238"/>
    <w:rsid w:val="0490BB7A"/>
    <w:rsid w:val="051F7632"/>
    <w:rsid w:val="059B61B6"/>
    <w:rsid w:val="07574467"/>
    <w:rsid w:val="0783BB3F"/>
    <w:rsid w:val="08B74108"/>
    <w:rsid w:val="090D2E09"/>
    <w:rsid w:val="09BDB445"/>
    <w:rsid w:val="0B44CDE9"/>
    <w:rsid w:val="0BC1F74F"/>
    <w:rsid w:val="0C3810B3"/>
    <w:rsid w:val="0DED6D1D"/>
    <w:rsid w:val="0F269B56"/>
    <w:rsid w:val="0F899224"/>
    <w:rsid w:val="0FDA20A5"/>
    <w:rsid w:val="1049B493"/>
    <w:rsid w:val="107370D8"/>
    <w:rsid w:val="108CC2C1"/>
    <w:rsid w:val="10BDD2EA"/>
    <w:rsid w:val="10CEAA43"/>
    <w:rsid w:val="10FD7BD0"/>
    <w:rsid w:val="1167D9BF"/>
    <w:rsid w:val="11723DC9"/>
    <w:rsid w:val="11FB91CD"/>
    <w:rsid w:val="1200EE72"/>
    <w:rsid w:val="125640A2"/>
    <w:rsid w:val="12756B3C"/>
    <w:rsid w:val="1303AA20"/>
    <w:rsid w:val="15D8A62D"/>
    <w:rsid w:val="1651962D"/>
    <w:rsid w:val="16EA6F41"/>
    <w:rsid w:val="175874EA"/>
    <w:rsid w:val="1806288C"/>
    <w:rsid w:val="185DB27D"/>
    <w:rsid w:val="18D0B48F"/>
    <w:rsid w:val="1A214533"/>
    <w:rsid w:val="1A8961AE"/>
    <w:rsid w:val="1C54AE55"/>
    <w:rsid w:val="1CDD9BC1"/>
    <w:rsid w:val="1CF6E818"/>
    <w:rsid w:val="1D9404EE"/>
    <w:rsid w:val="1DF25610"/>
    <w:rsid w:val="1EFE1270"/>
    <w:rsid w:val="20B87E45"/>
    <w:rsid w:val="21308297"/>
    <w:rsid w:val="21431F2F"/>
    <w:rsid w:val="216EB382"/>
    <w:rsid w:val="23ACE2D6"/>
    <w:rsid w:val="247213B5"/>
    <w:rsid w:val="24AC9F9F"/>
    <w:rsid w:val="25FD67F5"/>
    <w:rsid w:val="269ED292"/>
    <w:rsid w:val="27094C48"/>
    <w:rsid w:val="294DD7D1"/>
    <w:rsid w:val="29F57FCC"/>
    <w:rsid w:val="2CC837BA"/>
    <w:rsid w:val="2CF73967"/>
    <w:rsid w:val="2D76E884"/>
    <w:rsid w:val="2E3BE04A"/>
    <w:rsid w:val="2E648738"/>
    <w:rsid w:val="2E8205DF"/>
    <w:rsid w:val="2E962E1A"/>
    <w:rsid w:val="307A2E48"/>
    <w:rsid w:val="31380AF0"/>
    <w:rsid w:val="32CC8543"/>
    <w:rsid w:val="332449A5"/>
    <w:rsid w:val="33BD1158"/>
    <w:rsid w:val="341E448C"/>
    <w:rsid w:val="342157C2"/>
    <w:rsid w:val="344F3218"/>
    <w:rsid w:val="348634A9"/>
    <w:rsid w:val="361B7945"/>
    <w:rsid w:val="3792AD72"/>
    <w:rsid w:val="37C69AD0"/>
    <w:rsid w:val="3809CB7B"/>
    <w:rsid w:val="38C2189C"/>
    <w:rsid w:val="38F4C8E5"/>
    <w:rsid w:val="39531A07"/>
    <w:rsid w:val="395B3BDD"/>
    <w:rsid w:val="397B29F3"/>
    <w:rsid w:val="39C775F5"/>
    <w:rsid w:val="3A76A1D6"/>
    <w:rsid w:val="3AFF6689"/>
    <w:rsid w:val="3B308758"/>
    <w:rsid w:val="3B794551"/>
    <w:rsid w:val="3BC19778"/>
    <w:rsid w:val="3D6791F0"/>
    <w:rsid w:val="3D769036"/>
    <w:rsid w:val="3EDFAC31"/>
    <w:rsid w:val="3FE053DD"/>
    <w:rsid w:val="40448B3E"/>
    <w:rsid w:val="41141842"/>
    <w:rsid w:val="416511D5"/>
    <w:rsid w:val="417C243E"/>
    <w:rsid w:val="4197B835"/>
    <w:rsid w:val="424CB0BC"/>
    <w:rsid w:val="43CCA95D"/>
    <w:rsid w:val="44DF97AF"/>
    <w:rsid w:val="4561345B"/>
    <w:rsid w:val="467A9100"/>
    <w:rsid w:val="4874A506"/>
    <w:rsid w:val="48C46C11"/>
    <w:rsid w:val="48DD251D"/>
    <w:rsid w:val="48E9404F"/>
    <w:rsid w:val="4A34BEB8"/>
    <w:rsid w:val="4A4A642C"/>
    <w:rsid w:val="4A6144EB"/>
    <w:rsid w:val="4A726DAD"/>
    <w:rsid w:val="4B26771B"/>
    <w:rsid w:val="4D1508AB"/>
    <w:rsid w:val="4D8BF54A"/>
    <w:rsid w:val="4E868C4B"/>
    <w:rsid w:val="4F27C5AB"/>
    <w:rsid w:val="4FC21827"/>
    <w:rsid w:val="4FD53506"/>
    <w:rsid w:val="506677F7"/>
    <w:rsid w:val="519FA34E"/>
    <w:rsid w:val="51AE41A1"/>
    <w:rsid w:val="526FEA26"/>
    <w:rsid w:val="5343519F"/>
    <w:rsid w:val="55612008"/>
    <w:rsid w:val="556DD708"/>
    <w:rsid w:val="5609CA06"/>
    <w:rsid w:val="56502407"/>
    <w:rsid w:val="56B05D80"/>
    <w:rsid w:val="5774AB6E"/>
    <w:rsid w:val="5898C0CA"/>
    <w:rsid w:val="58A50373"/>
    <w:rsid w:val="5909F00A"/>
    <w:rsid w:val="59872F0A"/>
    <w:rsid w:val="599B49FC"/>
    <w:rsid w:val="5A8B8241"/>
    <w:rsid w:val="5A927DA6"/>
    <w:rsid w:val="5B5EE9BA"/>
    <w:rsid w:val="5B7E5313"/>
    <w:rsid w:val="5BC3182C"/>
    <w:rsid w:val="5C71917F"/>
    <w:rsid w:val="5CAEED99"/>
    <w:rsid w:val="5D6DB683"/>
    <w:rsid w:val="5DD468D3"/>
    <w:rsid w:val="5E5E96FC"/>
    <w:rsid w:val="60B01558"/>
    <w:rsid w:val="61ABD486"/>
    <w:rsid w:val="63FFBF37"/>
    <w:rsid w:val="64A0D721"/>
    <w:rsid w:val="64E204D2"/>
    <w:rsid w:val="67C01EE7"/>
    <w:rsid w:val="67DDB6C9"/>
    <w:rsid w:val="68780666"/>
    <w:rsid w:val="6947BA0A"/>
    <w:rsid w:val="698AB284"/>
    <w:rsid w:val="69A1E256"/>
    <w:rsid w:val="69B575F5"/>
    <w:rsid w:val="69D3151A"/>
    <w:rsid w:val="6C8839D0"/>
    <w:rsid w:val="6D62BF8C"/>
    <w:rsid w:val="6E92D774"/>
    <w:rsid w:val="6F0AF720"/>
    <w:rsid w:val="6F47FC6C"/>
    <w:rsid w:val="6F88C1FE"/>
    <w:rsid w:val="703C2406"/>
    <w:rsid w:val="70407E3F"/>
    <w:rsid w:val="70BAE370"/>
    <w:rsid w:val="7259625F"/>
    <w:rsid w:val="73231810"/>
    <w:rsid w:val="73306170"/>
    <w:rsid w:val="7374C5FF"/>
    <w:rsid w:val="7415F19B"/>
    <w:rsid w:val="74C836BD"/>
    <w:rsid w:val="75EF5F35"/>
    <w:rsid w:val="765AB8D2"/>
    <w:rsid w:val="7717FD26"/>
    <w:rsid w:val="7761BE8A"/>
    <w:rsid w:val="780B5F8F"/>
    <w:rsid w:val="7842AC99"/>
    <w:rsid w:val="7AA27AC7"/>
    <w:rsid w:val="7B2E29F5"/>
    <w:rsid w:val="7C089CAC"/>
    <w:rsid w:val="7CD8680E"/>
    <w:rsid w:val="7DF70C29"/>
    <w:rsid w:val="7F88C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63107A"/>
  <w15:chartTrackingRefBased/>
  <w15:docId w15:val="{C5CA37BA-E828-4F04-A2CE-D5D952B733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sr-Latn-R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Podrazumevanifontpasusa" w:default="1">
    <w:name w:val="Default Paragraph Font"/>
    <w:semiHidden/>
  </w:style>
  <w:style w:type="table" w:styleId="Normalnatabel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3.png" Id="Rbefcc73268e94e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 to prepare an abstract for ISCOM</dc:title>
  <dc:subject/>
  <dc:creator>User</dc:creator>
  <keywords/>
  <lastModifiedBy>Arbanas Miloš</lastModifiedBy>
  <revision>10</revision>
  <lastPrinted>2007-04-17T21:39:00.0000000Z</lastPrinted>
  <dcterms:created xsi:type="dcterms:W3CDTF">2021-06-14T07:35:00.0000000Z</dcterms:created>
  <dcterms:modified xsi:type="dcterms:W3CDTF">2021-06-29T16:52:12.5710904Z</dcterms:modified>
</coreProperties>
</file>