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Direct laser writing waveguides in CR-39 polymer</w:t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S. Gündogdu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1,2,3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and </w:t>
      </w:r>
      <w:r w:rsidDel="00000000" w:rsidR="00000000" w:rsidRPr="00000000">
        <w:rPr>
          <w:sz w:val="22"/>
          <w:szCs w:val="22"/>
          <w:rtl w:val="0"/>
        </w:rPr>
        <w:t xml:space="preserve">T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 </w:t>
      </w:r>
      <w:r w:rsidDel="00000000" w:rsidR="00000000" w:rsidRPr="00000000">
        <w:rPr>
          <w:sz w:val="22"/>
          <w:szCs w:val="22"/>
          <w:rtl w:val="0"/>
        </w:rPr>
        <w:t xml:space="preserve">Schröder</w:t>
      </w:r>
      <w:r w:rsidDel="00000000" w:rsidR="00000000" w:rsidRPr="00000000">
        <w:rPr>
          <w:sz w:val="16"/>
          <w:szCs w:val="16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sz w:val="14"/>
          <w:szCs w:val="14"/>
          <w:vertAlign w:val="superscript"/>
          <w:rtl w:val="0"/>
        </w:rPr>
        <w:t xml:space="preserve">1</w:t>
      </w:r>
      <w:r w:rsidDel="00000000" w:rsidR="00000000" w:rsidRPr="00000000">
        <w:rPr>
          <w:i w:val="1"/>
          <w:sz w:val="20"/>
          <w:szCs w:val="20"/>
          <w:rtl w:val="0"/>
        </w:rPr>
        <w:t xml:space="preserve">Department of Physics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,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Humboldt-Universität zu Berlin, Berlin, Germany</w:t>
      </w:r>
    </w:p>
    <w:p w:rsidR="00000000" w:rsidDel="00000000" w:rsidP="00000000" w:rsidRDefault="00000000" w:rsidRPr="00000000" w14:paraId="00000006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sz w:val="14"/>
          <w:szCs w:val="14"/>
          <w:vertAlign w:val="superscript"/>
          <w:rtl w:val="0"/>
        </w:rPr>
        <w:t xml:space="preserve">2</w:t>
      </w:r>
      <w:r w:rsidDel="00000000" w:rsidR="00000000" w:rsidRPr="00000000">
        <w:rPr>
          <w:i w:val="1"/>
          <w:sz w:val="20"/>
          <w:szCs w:val="20"/>
          <w:rtl w:val="0"/>
        </w:rPr>
        <w:t xml:space="preserve">Ferdinand Braun Institut, Berlin, Germany </w:t>
      </w:r>
    </w:p>
    <w:p w:rsidR="00000000" w:rsidDel="00000000" w:rsidP="00000000" w:rsidRDefault="00000000" w:rsidRPr="00000000" w14:paraId="00000007">
      <w:pPr>
        <w:jc w:val="center"/>
        <w:rPr>
          <w:i w:val="1"/>
          <w:sz w:val="20"/>
          <w:szCs w:val="20"/>
          <w:vertAlign w:val="baseline"/>
        </w:rPr>
      </w:pPr>
      <w:r w:rsidDel="00000000" w:rsidR="00000000" w:rsidRPr="00000000">
        <w:rPr>
          <w:sz w:val="14"/>
          <w:szCs w:val="14"/>
          <w:vertAlign w:val="superscript"/>
          <w:rtl w:val="0"/>
        </w:rPr>
        <w:t xml:space="preserve">3</w:t>
      </w:r>
      <w:r w:rsidDel="00000000" w:rsidR="00000000" w:rsidRPr="00000000">
        <w:rPr>
          <w:i w:val="1"/>
          <w:sz w:val="20"/>
          <w:szCs w:val="20"/>
          <w:rtl w:val="0"/>
        </w:rPr>
        <w:t xml:space="preserve">Center for Theoretical Physics of Complex Systems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Institute for Basic Science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, Da</w:t>
      </w:r>
      <w:r w:rsidDel="00000000" w:rsidR="00000000" w:rsidRPr="00000000">
        <w:rPr>
          <w:i w:val="1"/>
          <w:sz w:val="20"/>
          <w:szCs w:val="20"/>
          <w:rtl w:val="0"/>
        </w:rPr>
        <w:t xml:space="preserve">ejeon, South 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e-mail: </w:t>
      </w:r>
      <w:r w:rsidDel="00000000" w:rsidR="00000000" w:rsidRPr="00000000">
        <w:rPr>
          <w:sz w:val="20"/>
          <w:szCs w:val="20"/>
          <w:rtl w:val="0"/>
        </w:rPr>
        <w:t xml:space="preserve">sinang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@</w:t>
      </w:r>
      <w:r w:rsidDel="00000000" w:rsidR="00000000" w:rsidRPr="00000000">
        <w:rPr>
          <w:sz w:val="20"/>
          <w:szCs w:val="20"/>
          <w:rtl w:val="0"/>
        </w:rPr>
        <w:t xml:space="preserve">physik.hu-berlin.de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284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 present a simulation model for laser writing waveguides into a bulk polymer using a low-power UV laser. CR-39, an organic polymer commonly used as a lens material, is transparent to visible light and has a small extinction coefficient in the ultraviolet spectral range (k~0.004 at 400 nm). Its refractive index and ultraviolet extinction coefficient, however, increase when thermally heated. Previous experiments involving oven annealing showed an up to 10% refractive index change at 600 nm [1]. Such an intrinsic index change can be optically explored, making CR-39 an interesting candidate as a direct laser writing medium. To model the induced refractive index change under laser illumination, we use the Arrhenius equation for the rate with which the absorption coefficient changes for a moving Gaussian beam as a heat source.  We calculate the refractive index profiles of the annealed zones using finite element methods.  Our simulations show the feasibility of writing 3D embedded waveguides with a CW laser in contrast to high-power pulsed lasers that are commonly used in laser writing. At high laser powers, catastrophic instabilities can occur. We discuss a stabilization mechanism which may prevent instability and enable even higher index contrasts. This platform could offer a  low-cost alternative to femtosecond laser writing techniques [2].</w:t>
      </w:r>
    </w:p>
    <w:p w:rsidR="00000000" w:rsidDel="00000000" w:rsidP="00000000" w:rsidRDefault="00000000" w:rsidRPr="00000000" w14:paraId="0000000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7.0" w:type="dxa"/>
        <w:jc w:val="center"/>
        <w:tblLayout w:type="fixed"/>
        <w:tblLook w:val="0600"/>
      </w:tblPr>
      <w:tblGrid>
        <w:gridCol w:w="9027"/>
        <w:tblGridChange w:id="0">
          <w:tblGrid>
            <w:gridCol w:w="902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591175" cy="24130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241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Fig.1 (a) Simulated steady-state change of refractive index of CR-39 due to a moving Gaussian laser beam. (b) Change of refractive index as a function of laser power and writing speed/power ratio for a 410 nm beam with a numerical aperture of 0.5.</w:t>
            </w:r>
          </w:p>
        </w:tc>
      </w:tr>
    </w:tbl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REFERENCES</w:t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[1] </w:t>
      </w:r>
      <w:r w:rsidDel="00000000" w:rsidR="00000000" w:rsidRPr="00000000">
        <w:rPr>
          <w:sz w:val="22"/>
          <w:szCs w:val="22"/>
          <w:rtl w:val="0"/>
        </w:rPr>
        <w:t xml:space="preserve">V. Kumar and P. K. Goyal and S. Mahendia and R. Gupta and T. Sharma and S. Kumar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</w:t>
      </w:r>
      <w:r w:rsidDel="00000000" w:rsidR="00000000" w:rsidRPr="00000000">
        <w:rPr>
          <w:sz w:val="22"/>
          <w:szCs w:val="22"/>
          <w:rtl w:val="0"/>
        </w:rPr>
        <w:t xml:space="preserve">Radiation Effects and Defects in Solids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166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</w:t>
      </w:r>
      <w:r w:rsidDel="00000000" w:rsidR="00000000" w:rsidRPr="00000000">
        <w:rPr>
          <w:sz w:val="22"/>
          <w:szCs w:val="22"/>
          <w:rtl w:val="0"/>
        </w:rPr>
        <w:t xml:space="preserve">109-113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(20</w:t>
      </w:r>
      <w:r w:rsidDel="00000000" w:rsidR="00000000" w:rsidRPr="00000000">
        <w:rPr>
          <w:sz w:val="22"/>
          <w:szCs w:val="22"/>
          <w:rtl w:val="0"/>
        </w:rPr>
        <w:t xml:space="preserve">1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1).</w:t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[2] </w:t>
      </w:r>
      <w:r w:rsidDel="00000000" w:rsidR="00000000" w:rsidRPr="00000000">
        <w:rPr>
          <w:sz w:val="22"/>
          <w:szCs w:val="22"/>
          <w:rtl w:val="0"/>
        </w:rPr>
        <w:t xml:space="preserve">K. M. Davis, K. Miura, N. Sugimoto, and K. Hirao, Optics Letters 21, 1729-1731 (1996).</w:t>
      </w:r>
      <w:r w:rsidDel="00000000" w:rsidR="00000000" w:rsidRPr="00000000">
        <w:rPr>
          <w:rtl w:val="0"/>
        </w:rPr>
      </w:r>
    </w:p>
    <w:sectPr>
      <w:pgSz w:h="16840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