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9C" w:rsidRPr="00F0633D" w:rsidRDefault="00F0633D" w:rsidP="00F931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Visible light-responsiveness of the </w:t>
      </w:r>
      <w:proofErr w:type="spellStart"/>
      <w:r>
        <w:rPr>
          <w:b/>
          <w:sz w:val="28"/>
          <w:szCs w:val="28"/>
        </w:rPr>
        <w:t>nanocarrier</w:t>
      </w:r>
      <w:proofErr w:type="spellEnd"/>
      <w:r>
        <w:rPr>
          <w:b/>
          <w:sz w:val="28"/>
          <w:szCs w:val="28"/>
        </w:rPr>
        <w:t>/drug complex based on the TiO</w:t>
      </w:r>
      <w:r w:rsidRPr="00F0633D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</w:t>
      </w:r>
      <w:r w:rsidR="00B77F59">
        <w:rPr>
          <w:b/>
          <w:sz w:val="28"/>
          <w:szCs w:val="28"/>
        </w:rPr>
        <w:t>nanoparticle</w:t>
      </w:r>
      <w:r>
        <w:rPr>
          <w:b/>
          <w:sz w:val="28"/>
          <w:szCs w:val="28"/>
        </w:rPr>
        <w:t>s and Ru complex</w:t>
      </w:r>
    </w:p>
    <w:p w:rsidR="00F931A8" w:rsidRDefault="00F931A8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C429D" w:rsidRPr="003949BB" w:rsidRDefault="00F0633D" w:rsidP="002344D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0633D">
        <w:rPr>
          <w:sz w:val="22"/>
          <w:szCs w:val="22"/>
          <w:u w:val="single"/>
        </w:rPr>
        <w:t>M. Matijević</w:t>
      </w:r>
      <w:r w:rsidR="00CC429D" w:rsidRPr="00F0633D">
        <w:rPr>
          <w:sz w:val="16"/>
          <w:szCs w:val="16"/>
          <w:u w:val="single"/>
          <w:vertAlign w:val="superscript"/>
        </w:rPr>
        <w:t>1</w:t>
      </w:r>
      <w:r w:rsidR="00F931A8" w:rsidRPr="00F931A8">
        <w:rPr>
          <w:sz w:val="22"/>
          <w:szCs w:val="22"/>
        </w:rPr>
        <w:t xml:space="preserve">, </w:t>
      </w:r>
      <w:r w:rsidRPr="00F0633D">
        <w:rPr>
          <w:sz w:val="22"/>
          <w:szCs w:val="22"/>
        </w:rPr>
        <w:t>M. Stepić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,</w:t>
      </w:r>
      <w:r>
        <w:rPr>
          <w:sz w:val="22"/>
          <w:szCs w:val="22"/>
        </w:rPr>
        <w:t xml:space="preserve"> M. Radojičić</w:t>
      </w:r>
      <w:r>
        <w:rPr>
          <w:sz w:val="16"/>
          <w:szCs w:val="16"/>
          <w:vertAlign w:val="superscript"/>
        </w:rPr>
        <w:t>1</w:t>
      </w:r>
      <w:r>
        <w:rPr>
          <w:sz w:val="22"/>
          <w:szCs w:val="22"/>
        </w:rPr>
        <w:t>, M. Petković</w:t>
      </w:r>
      <w:r w:rsidRPr="00F0633D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and M.</w:t>
      </w:r>
      <w:r w:rsidR="00B77F59">
        <w:rPr>
          <w:sz w:val="22"/>
          <w:szCs w:val="22"/>
        </w:rPr>
        <w:t xml:space="preserve"> D.</w:t>
      </w:r>
      <w:r>
        <w:rPr>
          <w:sz w:val="22"/>
          <w:szCs w:val="22"/>
        </w:rPr>
        <w:t xml:space="preserve"> Nešić</w:t>
      </w:r>
      <w:r w:rsidRPr="00F0633D">
        <w:rPr>
          <w:sz w:val="22"/>
          <w:szCs w:val="22"/>
          <w:vertAlign w:val="superscript"/>
        </w:rPr>
        <w:t>1</w:t>
      </w:r>
    </w:p>
    <w:p w:rsidR="00CC429D" w:rsidRPr="00F931A8" w:rsidRDefault="00CC429D" w:rsidP="00F0633D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1</w:t>
      </w:r>
      <w:r w:rsidR="00F0633D" w:rsidRPr="00F0633D">
        <w:t xml:space="preserve"> </w:t>
      </w:r>
      <w:r w:rsidR="00F0633D" w:rsidRPr="00F0633D">
        <w:rPr>
          <w:i/>
          <w:iCs/>
          <w:sz w:val="20"/>
          <w:szCs w:val="20"/>
        </w:rPr>
        <w:t xml:space="preserve">VINČA Institute of Nuclear Sciences, National Institute of the Republic of Serbia, University of Belgrade </w:t>
      </w:r>
    </w:p>
    <w:p w:rsidR="00CC429D" w:rsidRPr="003949BB" w:rsidRDefault="004E3764" w:rsidP="002344D6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-mail:</w:t>
      </w:r>
      <w:r w:rsidR="00F0633D">
        <w:rPr>
          <w:sz w:val="20"/>
          <w:szCs w:val="20"/>
        </w:rPr>
        <w:t>milica.m</w:t>
      </w:r>
      <w:r w:rsidR="00CC429D" w:rsidRPr="00F931A8">
        <w:rPr>
          <w:sz w:val="20"/>
          <w:szCs w:val="20"/>
        </w:rPr>
        <w:t>@</w:t>
      </w:r>
      <w:r w:rsidR="00F0633D">
        <w:rPr>
          <w:sz w:val="20"/>
          <w:szCs w:val="20"/>
        </w:rPr>
        <w:t>vin.bg.ac</w:t>
      </w:r>
      <w:r w:rsidR="005E0E65">
        <w:rPr>
          <w:sz w:val="20"/>
          <w:szCs w:val="20"/>
        </w:rPr>
        <w:t>.rs</w:t>
      </w:r>
      <w:proofErr w:type="spellEnd"/>
    </w:p>
    <w:p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633D" w:rsidRDefault="00F0633D" w:rsidP="00F0633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633D">
        <w:rPr>
          <w:sz w:val="22"/>
          <w:szCs w:val="22"/>
        </w:rPr>
        <w:t>TiO</w:t>
      </w:r>
      <w:r w:rsidRPr="00F0633D">
        <w:rPr>
          <w:sz w:val="22"/>
          <w:szCs w:val="22"/>
          <w:vertAlign w:val="subscript"/>
        </w:rPr>
        <w:t>2</w:t>
      </w:r>
      <w:r w:rsidRPr="00F0633D">
        <w:rPr>
          <w:sz w:val="22"/>
          <w:szCs w:val="22"/>
        </w:rPr>
        <w:t xml:space="preserve"> nanoparticle</w:t>
      </w:r>
      <w:r>
        <w:rPr>
          <w:sz w:val="22"/>
          <w:szCs w:val="22"/>
        </w:rPr>
        <w:t xml:space="preserve">s (NPs) have great potential for implementing </w:t>
      </w:r>
      <w:r w:rsidRPr="00F0633D">
        <w:rPr>
          <w:sz w:val="22"/>
          <w:szCs w:val="22"/>
        </w:rPr>
        <w:t>photodynamic therapy (PDT) as a part of drug delive</w:t>
      </w:r>
      <w:r>
        <w:rPr>
          <w:sz w:val="22"/>
          <w:szCs w:val="22"/>
        </w:rPr>
        <w:t xml:space="preserve">ry </w:t>
      </w:r>
      <w:proofErr w:type="spellStart"/>
      <w:r>
        <w:rPr>
          <w:sz w:val="22"/>
          <w:szCs w:val="22"/>
        </w:rPr>
        <w:t>therapeutical</w:t>
      </w:r>
      <w:proofErr w:type="spellEnd"/>
      <w:r>
        <w:rPr>
          <w:sz w:val="22"/>
          <w:szCs w:val="22"/>
        </w:rPr>
        <w:t xml:space="preserve"> systems. PDT is an emerging anti-cancer therapy that </w:t>
      </w:r>
      <w:r w:rsidRPr="00F0633D">
        <w:rPr>
          <w:sz w:val="22"/>
          <w:szCs w:val="22"/>
        </w:rPr>
        <w:t xml:space="preserve">involves the administration of </w:t>
      </w:r>
      <w:r>
        <w:rPr>
          <w:sz w:val="22"/>
          <w:szCs w:val="22"/>
        </w:rPr>
        <w:t>photosensitizer (PS),</w:t>
      </w:r>
      <w:r w:rsidRPr="00F0633D">
        <w:rPr>
          <w:sz w:val="22"/>
          <w:szCs w:val="22"/>
        </w:rPr>
        <w:t xml:space="preserve"> which undergoes reversible changes upon light exposure</w:t>
      </w:r>
      <w:r>
        <w:rPr>
          <w:sz w:val="22"/>
          <w:szCs w:val="22"/>
        </w:rPr>
        <w:t>. Next, PS can release a cytostatic drug</w:t>
      </w:r>
      <w:r w:rsidRPr="00F0633D">
        <w:rPr>
          <w:sz w:val="22"/>
          <w:szCs w:val="22"/>
        </w:rPr>
        <w:t xml:space="preserve"> </w:t>
      </w:r>
      <w:r>
        <w:rPr>
          <w:sz w:val="22"/>
          <w:szCs w:val="22"/>
        </w:rPr>
        <w:t>and/or</w:t>
      </w:r>
      <w:r w:rsidRPr="00F0633D">
        <w:rPr>
          <w:sz w:val="22"/>
          <w:szCs w:val="22"/>
        </w:rPr>
        <w:t xml:space="preserve"> transfer </w:t>
      </w:r>
      <w:r>
        <w:rPr>
          <w:sz w:val="22"/>
          <w:szCs w:val="22"/>
        </w:rPr>
        <w:t xml:space="preserve">its energy to molecular oxygen, </w:t>
      </w:r>
      <w:r w:rsidRPr="00F0633D">
        <w:rPr>
          <w:sz w:val="22"/>
          <w:szCs w:val="22"/>
        </w:rPr>
        <w:t>generating reactive oxygen species (ROS)</w:t>
      </w:r>
      <w:r>
        <w:rPr>
          <w:sz w:val="22"/>
          <w:szCs w:val="22"/>
        </w:rPr>
        <w:t>, consequently</w:t>
      </w:r>
      <w:r w:rsidRPr="00F0633D">
        <w:rPr>
          <w:sz w:val="22"/>
          <w:szCs w:val="22"/>
        </w:rPr>
        <w:t xml:space="preserve"> </w:t>
      </w:r>
      <w:r>
        <w:rPr>
          <w:sz w:val="22"/>
          <w:szCs w:val="22"/>
        </w:rPr>
        <w:t>leading to cancer</w:t>
      </w:r>
      <w:r w:rsidRPr="00F0633D">
        <w:rPr>
          <w:sz w:val="22"/>
          <w:szCs w:val="22"/>
        </w:rPr>
        <w:t xml:space="preserve"> cell ablation</w:t>
      </w:r>
      <w:r>
        <w:rPr>
          <w:sz w:val="22"/>
          <w:szCs w:val="22"/>
        </w:rPr>
        <w:t xml:space="preserve"> [1].</w:t>
      </w:r>
    </w:p>
    <w:p w:rsidR="00837D67" w:rsidRDefault="00837D67" w:rsidP="00837D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37D67" w:rsidRDefault="00B77F59" w:rsidP="00837D67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I</w:t>
      </w:r>
      <w:r w:rsidR="00F0633D">
        <w:rPr>
          <w:sz w:val="22"/>
          <w:szCs w:val="22"/>
        </w:rPr>
        <w:t xml:space="preserve">n this work, we assessed </w:t>
      </w:r>
      <w:proofErr w:type="spellStart"/>
      <w:r w:rsidR="00F0633D">
        <w:rPr>
          <w:sz w:val="22"/>
          <w:szCs w:val="22"/>
        </w:rPr>
        <w:t>photocytotoxicity</w:t>
      </w:r>
      <w:proofErr w:type="spellEnd"/>
      <w:r w:rsidR="00F0633D">
        <w:rPr>
          <w:sz w:val="22"/>
          <w:szCs w:val="22"/>
        </w:rPr>
        <w:t xml:space="preserve"> to the HeLa cell line of the </w:t>
      </w:r>
      <w:proofErr w:type="spellStart"/>
      <w:r w:rsidR="00F0633D" w:rsidRPr="00F0633D">
        <w:rPr>
          <w:sz w:val="22"/>
          <w:szCs w:val="22"/>
        </w:rPr>
        <w:t>nanocarrier</w:t>
      </w:r>
      <w:proofErr w:type="spellEnd"/>
      <w:r w:rsidR="00F0633D" w:rsidRPr="00F0633D">
        <w:rPr>
          <w:sz w:val="22"/>
          <w:szCs w:val="22"/>
        </w:rPr>
        <w:t>/drug complex</w:t>
      </w:r>
      <w:r w:rsidR="00F0633D">
        <w:rPr>
          <w:sz w:val="22"/>
          <w:szCs w:val="22"/>
        </w:rPr>
        <w:t>es</w:t>
      </w:r>
      <w:r w:rsidR="00F0633D" w:rsidRPr="00F0633D">
        <w:rPr>
          <w:sz w:val="22"/>
          <w:szCs w:val="22"/>
        </w:rPr>
        <w:t xml:space="preserve"> </w:t>
      </w:r>
      <w:r w:rsidR="00F0633D">
        <w:rPr>
          <w:sz w:val="22"/>
          <w:szCs w:val="22"/>
        </w:rPr>
        <w:t>– nanocomposite systems (NCSs) made of different types of carriers, TiO</w:t>
      </w:r>
      <w:r w:rsidR="00F0633D" w:rsidRPr="00F0633D">
        <w:rPr>
          <w:sz w:val="22"/>
          <w:szCs w:val="22"/>
          <w:vertAlign w:val="subscript"/>
        </w:rPr>
        <w:t>2</w:t>
      </w:r>
      <w:r w:rsidR="00F0633D">
        <w:rPr>
          <w:sz w:val="22"/>
          <w:szCs w:val="22"/>
        </w:rPr>
        <w:t xml:space="preserve"> NPs, </w:t>
      </w:r>
      <w:r w:rsidR="00F0633D" w:rsidRPr="00F0633D">
        <w:rPr>
          <w:sz w:val="22"/>
          <w:szCs w:val="22"/>
        </w:rPr>
        <w:t xml:space="preserve">for </w:t>
      </w:r>
      <w:r w:rsidR="00F0633D">
        <w:rPr>
          <w:sz w:val="22"/>
          <w:szCs w:val="22"/>
        </w:rPr>
        <w:t xml:space="preserve">the delivery of </w:t>
      </w:r>
      <w:r w:rsidR="00F0633D" w:rsidRPr="00F0633D">
        <w:rPr>
          <w:sz w:val="22"/>
          <w:szCs w:val="22"/>
        </w:rPr>
        <w:t>Ru complex (cis-</w:t>
      </w:r>
      <w:proofErr w:type="spellStart"/>
      <w:r w:rsidR="00F0633D" w:rsidRPr="00F0633D">
        <w:rPr>
          <w:sz w:val="22"/>
          <w:szCs w:val="22"/>
        </w:rPr>
        <w:t>dichlorobis</w:t>
      </w:r>
      <w:proofErr w:type="spellEnd"/>
      <w:r w:rsidR="00F0633D" w:rsidRPr="00F0633D">
        <w:rPr>
          <w:sz w:val="22"/>
          <w:szCs w:val="22"/>
        </w:rPr>
        <w:t xml:space="preserve"> (2,2'-bipyridyl-4,4'-dicarboxylic acid)ruthen</w:t>
      </w:r>
      <w:r w:rsidR="00F0633D">
        <w:rPr>
          <w:sz w:val="22"/>
          <w:szCs w:val="22"/>
        </w:rPr>
        <w:t>ium(II). One tested NCS consists of colloid TiO</w:t>
      </w:r>
      <w:r w:rsidR="00F0633D" w:rsidRPr="00F0633D">
        <w:rPr>
          <w:sz w:val="22"/>
          <w:szCs w:val="22"/>
          <w:vertAlign w:val="subscript"/>
        </w:rPr>
        <w:t>2</w:t>
      </w:r>
      <w:r w:rsidR="00F0633D">
        <w:rPr>
          <w:sz w:val="22"/>
          <w:szCs w:val="22"/>
        </w:rPr>
        <w:t xml:space="preserve"> NPs, whereas the other consists of the TiO</w:t>
      </w:r>
      <w:r w:rsidR="00F0633D" w:rsidRPr="00F0633D">
        <w:rPr>
          <w:sz w:val="22"/>
          <w:szCs w:val="22"/>
          <w:vertAlign w:val="subscript"/>
        </w:rPr>
        <w:t>2</w:t>
      </w:r>
      <w:r w:rsidR="00F0633D">
        <w:rPr>
          <w:sz w:val="22"/>
          <w:szCs w:val="22"/>
        </w:rPr>
        <w:t xml:space="preserve"> </w:t>
      </w:r>
      <w:proofErr w:type="spellStart"/>
      <w:r w:rsidR="00F0633D" w:rsidRPr="00F0633D">
        <w:rPr>
          <w:sz w:val="22"/>
          <w:szCs w:val="22"/>
        </w:rPr>
        <w:t>prolate</w:t>
      </w:r>
      <w:proofErr w:type="spellEnd"/>
      <w:r w:rsidR="00F0633D" w:rsidRPr="00F0633D">
        <w:rPr>
          <w:sz w:val="22"/>
          <w:szCs w:val="22"/>
        </w:rPr>
        <w:t xml:space="preserve"> </w:t>
      </w:r>
      <w:proofErr w:type="spellStart"/>
      <w:r w:rsidR="00F0633D" w:rsidRPr="00F0633D">
        <w:rPr>
          <w:sz w:val="22"/>
          <w:szCs w:val="22"/>
        </w:rPr>
        <w:t>nanospheroids</w:t>
      </w:r>
      <w:proofErr w:type="spellEnd"/>
      <w:r w:rsidR="00F0633D" w:rsidRPr="00F0633D">
        <w:rPr>
          <w:sz w:val="22"/>
          <w:szCs w:val="22"/>
        </w:rPr>
        <w:t xml:space="preserve"> (PNSs)</w:t>
      </w:r>
      <w:r w:rsidR="00F0633D">
        <w:rPr>
          <w:sz w:val="22"/>
          <w:szCs w:val="22"/>
        </w:rPr>
        <w:t>. Previously in our work, both TiO</w:t>
      </w:r>
      <w:r w:rsidR="00F0633D" w:rsidRPr="00F0633D">
        <w:rPr>
          <w:sz w:val="22"/>
          <w:szCs w:val="22"/>
          <w:vertAlign w:val="subscript"/>
        </w:rPr>
        <w:t>2</w:t>
      </w:r>
      <w:r w:rsidR="00F0633D">
        <w:rPr>
          <w:sz w:val="22"/>
          <w:szCs w:val="22"/>
        </w:rPr>
        <w:t xml:space="preserve"> NPs </w:t>
      </w:r>
      <w:r w:rsidR="00F0633D" w:rsidRPr="00F0633D">
        <w:rPr>
          <w:sz w:val="22"/>
          <w:szCs w:val="22"/>
        </w:rPr>
        <w:t>d</w:t>
      </w:r>
      <w:r w:rsidR="00F0633D">
        <w:rPr>
          <w:sz w:val="22"/>
          <w:szCs w:val="22"/>
        </w:rPr>
        <w:t>emonstrated</w:t>
      </w:r>
      <w:r w:rsidR="00F0633D" w:rsidRPr="00F0633D">
        <w:rPr>
          <w:sz w:val="22"/>
          <w:szCs w:val="22"/>
        </w:rPr>
        <w:t xml:space="preserve"> good biocompatibility in the dark</w:t>
      </w:r>
      <w:r w:rsidR="00F0633D">
        <w:rPr>
          <w:sz w:val="22"/>
          <w:szCs w:val="22"/>
        </w:rPr>
        <w:t xml:space="preserve"> [2</w:t>
      </w:r>
      <w:proofErr w:type="gramStart"/>
      <w:r w:rsidR="00F0633D">
        <w:rPr>
          <w:sz w:val="22"/>
          <w:szCs w:val="22"/>
        </w:rPr>
        <w:t>,3</w:t>
      </w:r>
      <w:proofErr w:type="gramEnd"/>
      <w:r w:rsidR="00F0633D">
        <w:rPr>
          <w:sz w:val="22"/>
          <w:szCs w:val="22"/>
        </w:rPr>
        <w:t>]</w:t>
      </w:r>
      <w:r w:rsidR="00F0633D" w:rsidRPr="00F0633D">
        <w:rPr>
          <w:sz w:val="22"/>
          <w:szCs w:val="22"/>
        </w:rPr>
        <w:t xml:space="preserve">, </w:t>
      </w:r>
      <w:r w:rsidR="00F0633D">
        <w:rPr>
          <w:sz w:val="22"/>
          <w:szCs w:val="22"/>
        </w:rPr>
        <w:t xml:space="preserve">whereas the </w:t>
      </w:r>
      <w:r w:rsidR="00F0633D" w:rsidRPr="00F0633D">
        <w:rPr>
          <w:sz w:val="22"/>
          <w:szCs w:val="22"/>
        </w:rPr>
        <w:t>Ru complex</w:t>
      </w:r>
      <w:r w:rsidR="00F0633D">
        <w:rPr>
          <w:sz w:val="22"/>
          <w:szCs w:val="22"/>
        </w:rPr>
        <w:t xml:space="preserve"> exhibited notable </w:t>
      </w:r>
      <w:r w:rsidR="00F0633D" w:rsidRPr="00F0633D">
        <w:rPr>
          <w:sz w:val="22"/>
          <w:szCs w:val="22"/>
        </w:rPr>
        <w:t>anti-proliferative, ge</w:t>
      </w:r>
      <w:r w:rsidR="00F0633D">
        <w:rPr>
          <w:sz w:val="22"/>
          <w:szCs w:val="22"/>
        </w:rPr>
        <w:t>notoxic, and antitumor effects [4]</w:t>
      </w:r>
      <w:r w:rsidR="00F0633D" w:rsidRPr="00F0633D">
        <w:rPr>
          <w:sz w:val="22"/>
          <w:szCs w:val="22"/>
        </w:rPr>
        <w:t>.</w:t>
      </w:r>
      <w:r w:rsidR="00F0633D">
        <w:rPr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Pr="00F0633D">
        <w:rPr>
          <w:sz w:val="22"/>
          <w:szCs w:val="22"/>
        </w:rPr>
        <w:t xml:space="preserve"> </w:t>
      </w:r>
      <w:r w:rsidR="00F0633D" w:rsidRPr="00F0633D">
        <w:rPr>
          <w:sz w:val="22"/>
          <w:szCs w:val="22"/>
        </w:rPr>
        <w:t>TiO</w:t>
      </w:r>
      <w:r w:rsidR="00F0633D" w:rsidRPr="00F0633D">
        <w:rPr>
          <w:sz w:val="22"/>
          <w:szCs w:val="22"/>
          <w:vertAlign w:val="subscript"/>
        </w:rPr>
        <w:t>2</w:t>
      </w:r>
      <w:r w:rsidR="00F0633D" w:rsidRPr="00F0633D">
        <w:rPr>
          <w:sz w:val="22"/>
          <w:szCs w:val="22"/>
        </w:rPr>
        <w:t xml:space="preserve"> NPs are photo-active in the UV range, and the Ru complex absorbs in both UV and visible </w:t>
      </w:r>
      <w:r w:rsidR="00F0633D">
        <w:rPr>
          <w:sz w:val="22"/>
          <w:szCs w:val="22"/>
        </w:rPr>
        <w:t>spectrum [3],</w:t>
      </w:r>
      <w:r w:rsidR="00F0633D" w:rsidRPr="00F0633D">
        <w:rPr>
          <w:sz w:val="22"/>
          <w:szCs w:val="22"/>
        </w:rPr>
        <w:t xml:space="preserve"> </w:t>
      </w:r>
      <w:r w:rsidR="00F0633D">
        <w:rPr>
          <w:sz w:val="22"/>
          <w:szCs w:val="22"/>
        </w:rPr>
        <w:t>herein, we have</w:t>
      </w:r>
      <w:r w:rsidR="00F0633D" w:rsidRPr="00F0633D">
        <w:t xml:space="preserve"> </w:t>
      </w:r>
      <w:r w:rsidR="00F0633D">
        <w:rPr>
          <w:sz w:val="22"/>
          <w:szCs w:val="22"/>
        </w:rPr>
        <w:t>determined t</w:t>
      </w:r>
      <w:r w:rsidR="00F0633D" w:rsidRPr="00F0633D">
        <w:rPr>
          <w:sz w:val="22"/>
          <w:szCs w:val="22"/>
        </w:rPr>
        <w:t>he optical bandgap</w:t>
      </w:r>
      <w:r w:rsidR="00F0633D">
        <w:rPr>
          <w:sz w:val="22"/>
          <w:szCs w:val="22"/>
        </w:rPr>
        <w:t>s</w:t>
      </w:r>
      <w:r w:rsidR="00F0633D" w:rsidRPr="00F0633D">
        <w:rPr>
          <w:sz w:val="22"/>
          <w:szCs w:val="22"/>
        </w:rPr>
        <w:t xml:space="preserve"> of the synthesized </w:t>
      </w:r>
      <w:r w:rsidR="00F0633D">
        <w:rPr>
          <w:sz w:val="22"/>
          <w:szCs w:val="22"/>
        </w:rPr>
        <w:t>NCSs with</w:t>
      </w:r>
      <w:r w:rsidR="00F0633D" w:rsidRPr="00F0633D">
        <w:rPr>
          <w:sz w:val="22"/>
          <w:szCs w:val="22"/>
        </w:rPr>
        <w:t xml:space="preserve"> </w:t>
      </w:r>
      <w:proofErr w:type="spellStart"/>
      <w:r w:rsidR="00F0633D" w:rsidRPr="00F0633D">
        <w:rPr>
          <w:sz w:val="22"/>
          <w:szCs w:val="22"/>
        </w:rPr>
        <w:t>Tauc’s</w:t>
      </w:r>
      <w:proofErr w:type="spellEnd"/>
      <w:r w:rsidR="00F0633D" w:rsidRPr="00F0633D">
        <w:rPr>
          <w:sz w:val="22"/>
          <w:szCs w:val="22"/>
        </w:rPr>
        <w:t xml:space="preserve"> plot</w:t>
      </w:r>
      <w:r w:rsidR="00F0633D">
        <w:rPr>
          <w:sz w:val="22"/>
          <w:szCs w:val="22"/>
        </w:rPr>
        <w:t>.</w:t>
      </w:r>
    </w:p>
    <w:p w:rsidR="00837D67" w:rsidRDefault="00837D67" w:rsidP="00F0633D">
      <w:pPr>
        <w:keepNext/>
        <w:keepLines/>
        <w:spacing w:after="240"/>
        <w:jc w:val="both"/>
        <w:rPr>
          <w:sz w:val="22"/>
          <w:szCs w:val="22"/>
        </w:rPr>
      </w:pPr>
    </w:p>
    <w:p w:rsidR="00F0633D" w:rsidRPr="00F0633D" w:rsidRDefault="00F0633D" w:rsidP="00F0633D">
      <w:pPr>
        <w:keepNext/>
        <w:keepLines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Calculated</w:t>
      </w:r>
      <w:r w:rsidRPr="00F0633D">
        <w:rPr>
          <w:sz w:val="22"/>
          <w:szCs w:val="22"/>
        </w:rPr>
        <w:t xml:space="preserve"> bandgap</w:t>
      </w:r>
      <w:r>
        <w:rPr>
          <w:sz w:val="22"/>
          <w:szCs w:val="22"/>
        </w:rPr>
        <w:t>s</w:t>
      </w:r>
      <w:r w:rsidRPr="00F0633D">
        <w:rPr>
          <w:sz w:val="22"/>
          <w:szCs w:val="22"/>
        </w:rPr>
        <w:t xml:space="preserve"> of the synthesized NCSs prove</w:t>
      </w:r>
      <w:r>
        <w:rPr>
          <w:sz w:val="22"/>
          <w:szCs w:val="22"/>
        </w:rPr>
        <w:t>d</w:t>
      </w:r>
      <w:r w:rsidRPr="00F0633D">
        <w:rPr>
          <w:sz w:val="22"/>
          <w:szCs w:val="22"/>
        </w:rPr>
        <w:t xml:space="preserve"> that the Ru complex extends the responsiveness of TiO</w:t>
      </w:r>
      <w:r w:rsidRPr="00F0633D">
        <w:rPr>
          <w:sz w:val="22"/>
          <w:szCs w:val="22"/>
          <w:vertAlign w:val="subscript"/>
        </w:rPr>
        <w:t>2</w:t>
      </w:r>
      <w:r w:rsidRPr="00F0633D">
        <w:rPr>
          <w:sz w:val="22"/>
          <w:szCs w:val="22"/>
        </w:rPr>
        <w:t xml:space="preserve"> to visible light while acts as a </w:t>
      </w:r>
      <w:r>
        <w:rPr>
          <w:sz w:val="22"/>
          <w:szCs w:val="22"/>
        </w:rPr>
        <w:t xml:space="preserve">medicament in photo-active NCSs, allowing the absorption of the NCSs in the visible range. Thus, we have examined the </w:t>
      </w:r>
      <w:proofErr w:type="spellStart"/>
      <w:r>
        <w:rPr>
          <w:sz w:val="22"/>
          <w:szCs w:val="22"/>
        </w:rPr>
        <w:t>photocytotoxicity</w:t>
      </w:r>
      <w:proofErr w:type="spellEnd"/>
      <w:r>
        <w:rPr>
          <w:sz w:val="22"/>
          <w:szCs w:val="22"/>
        </w:rPr>
        <w:t xml:space="preserve"> of the combined treatment of the HeLa cells with NCSs and visible light. </w:t>
      </w:r>
      <w:r w:rsidRPr="00F0633D">
        <w:rPr>
          <w:sz w:val="22"/>
          <w:szCs w:val="22"/>
        </w:rPr>
        <w:t xml:space="preserve">The preliminary results show that </w:t>
      </w:r>
      <w:r>
        <w:rPr>
          <w:sz w:val="22"/>
          <w:szCs w:val="22"/>
        </w:rPr>
        <w:t>visible light, which is not harmful when applied alone to the cells, can effectively induce a cytotoxic effect in the combined therapy with the NCSs.</w:t>
      </w:r>
    </w:p>
    <w:p w:rsidR="003949BB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429D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:rsidR="002C3456" w:rsidRPr="00F931A8" w:rsidRDefault="002C3456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S. S. Lucky, K. C. Soo, Y. Zhang, Chem. Rev. 115, </w:t>
      </w:r>
      <w:r w:rsidRPr="002C3456">
        <w:rPr>
          <w:sz w:val="22"/>
          <w:szCs w:val="22"/>
        </w:rPr>
        <w:t>1990-2042</w:t>
      </w:r>
      <w:r>
        <w:rPr>
          <w:sz w:val="22"/>
          <w:szCs w:val="22"/>
        </w:rPr>
        <w:t xml:space="preserve"> (2015)</w:t>
      </w:r>
    </w:p>
    <w:p w:rsidR="00F0633D" w:rsidRPr="00F0633D" w:rsidRDefault="00F0633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7F59">
        <w:rPr>
          <w:sz w:val="22"/>
          <w:szCs w:val="22"/>
          <w:lang w:val="de-DE"/>
        </w:rPr>
        <w:t>[2] M. Matijevi</w:t>
      </w:r>
      <w:r>
        <w:rPr>
          <w:sz w:val="22"/>
          <w:szCs w:val="22"/>
        </w:rPr>
        <w:t xml:space="preserve">ć, </w:t>
      </w:r>
      <w:proofErr w:type="spellStart"/>
      <w:r>
        <w:rPr>
          <w:sz w:val="22"/>
          <w:szCs w:val="22"/>
        </w:rPr>
        <w:t>Nakarada</w:t>
      </w:r>
      <w:proofErr w:type="spellEnd"/>
      <w:r>
        <w:rPr>
          <w:sz w:val="22"/>
          <w:szCs w:val="22"/>
        </w:rPr>
        <w:t>, Đ.</w:t>
      </w:r>
      <w:r w:rsidRPr="00F0633D">
        <w:rPr>
          <w:sz w:val="22"/>
          <w:szCs w:val="22"/>
        </w:rPr>
        <w:t xml:space="preserve"> Liang, X. e</w:t>
      </w:r>
      <w:r>
        <w:rPr>
          <w:sz w:val="22"/>
          <w:szCs w:val="22"/>
        </w:rPr>
        <w:t>t al. J. Nanoparticle Res. 22, 1–12 (2020)</w:t>
      </w:r>
      <w:r w:rsidR="008F06F1">
        <w:rPr>
          <w:sz w:val="22"/>
          <w:szCs w:val="22"/>
        </w:rPr>
        <w:t>.</w:t>
      </w:r>
    </w:p>
    <w:p w:rsidR="00CC429D" w:rsidRDefault="00F0633D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[3</w:t>
      </w:r>
      <w:r w:rsidR="00CC429D" w:rsidRPr="00F931A8">
        <w:rPr>
          <w:sz w:val="22"/>
          <w:szCs w:val="22"/>
        </w:rPr>
        <w:t xml:space="preserve">] </w:t>
      </w:r>
      <w:proofErr w:type="spellStart"/>
      <w:r w:rsidRPr="00F0633D">
        <w:rPr>
          <w:sz w:val="22"/>
          <w:szCs w:val="22"/>
        </w:rPr>
        <w:t>Nešić</w:t>
      </w:r>
      <w:proofErr w:type="spellEnd"/>
      <w:r w:rsidRPr="00F0633D">
        <w:rPr>
          <w:sz w:val="22"/>
          <w:szCs w:val="22"/>
        </w:rPr>
        <w:t xml:space="preserve">, M. </w:t>
      </w:r>
      <w:proofErr w:type="spellStart"/>
      <w:r w:rsidRPr="00F0633D">
        <w:rPr>
          <w:sz w:val="22"/>
          <w:szCs w:val="22"/>
        </w:rPr>
        <w:t>Žakula</w:t>
      </w:r>
      <w:proofErr w:type="spellEnd"/>
      <w:r w:rsidRPr="00F0633D">
        <w:rPr>
          <w:sz w:val="22"/>
          <w:szCs w:val="22"/>
        </w:rPr>
        <w:t xml:space="preserve">, J; </w:t>
      </w:r>
      <w:proofErr w:type="spellStart"/>
      <w:r w:rsidRPr="00F0633D">
        <w:rPr>
          <w:sz w:val="22"/>
          <w:szCs w:val="22"/>
        </w:rPr>
        <w:t>Stepić</w:t>
      </w:r>
      <w:proofErr w:type="spellEnd"/>
      <w:r w:rsidRPr="00F0633D">
        <w:rPr>
          <w:sz w:val="22"/>
          <w:szCs w:val="22"/>
        </w:rPr>
        <w:t xml:space="preserve">, M. et al. J. </w:t>
      </w:r>
      <w:proofErr w:type="spellStart"/>
      <w:r w:rsidRPr="00F0633D">
        <w:rPr>
          <w:sz w:val="22"/>
          <w:szCs w:val="22"/>
        </w:rPr>
        <w:t>Phot</w:t>
      </w:r>
      <w:r>
        <w:rPr>
          <w:sz w:val="22"/>
          <w:szCs w:val="22"/>
        </w:rPr>
        <w:t>ochem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Photobiol</w:t>
      </w:r>
      <w:proofErr w:type="spellEnd"/>
      <w:r>
        <w:rPr>
          <w:sz w:val="22"/>
          <w:szCs w:val="22"/>
        </w:rPr>
        <w:t xml:space="preserve">. A Chem. 347, </w:t>
      </w:r>
      <w:r w:rsidRPr="00F0633D">
        <w:rPr>
          <w:sz w:val="22"/>
          <w:szCs w:val="22"/>
        </w:rPr>
        <w:t>55–66</w:t>
      </w:r>
      <w:r>
        <w:rPr>
          <w:sz w:val="22"/>
          <w:szCs w:val="22"/>
        </w:rPr>
        <w:t xml:space="preserve"> (2017).</w:t>
      </w:r>
    </w:p>
    <w:p w:rsidR="00F0633D" w:rsidRPr="00E23BD2" w:rsidRDefault="00F0633D" w:rsidP="00E23BD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[4] </w:t>
      </w:r>
      <w:proofErr w:type="spellStart"/>
      <w:r w:rsidRPr="00F0633D">
        <w:rPr>
          <w:sz w:val="22"/>
          <w:szCs w:val="22"/>
        </w:rPr>
        <w:t>Nešić</w:t>
      </w:r>
      <w:proofErr w:type="spellEnd"/>
      <w:r w:rsidRPr="00F0633D">
        <w:rPr>
          <w:sz w:val="22"/>
          <w:szCs w:val="22"/>
        </w:rPr>
        <w:t xml:space="preserve">, M. </w:t>
      </w:r>
      <w:proofErr w:type="spellStart"/>
      <w:r w:rsidRPr="00F0633D">
        <w:rPr>
          <w:sz w:val="22"/>
          <w:szCs w:val="22"/>
        </w:rPr>
        <w:t>Popović</w:t>
      </w:r>
      <w:proofErr w:type="spellEnd"/>
      <w:r w:rsidRPr="00F0633D">
        <w:rPr>
          <w:sz w:val="22"/>
          <w:szCs w:val="22"/>
        </w:rPr>
        <w:t xml:space="preserve">, I. </w:t>
      </w:r>
      <w:proofErr w:type="spellStart"/>
      <w:r w:rsidRPr="00F0633D">
        <w:rPr>
          <w:sz w:val="22"/>
          <w:szCs w:val="22"/>
        </w:rPr>
        <w:t>Leskovac</w:t>
      </w:r>
      <w:proofErr w:type="spellEnd"/>
      <w:r w:rsidRPr="00F0633D">
        <w:rPr>
          <w:sz w:val="22"/>
          <w:szCs w:val="22"/>
        </w:rPr>
        <w:t xml:space="preserve">, A. </w:t>
      </w:r>
      <w:proofErr w:type="spellStart"/>
      <w:r w:rsidRPr="00F0633D">
        <w:rPr>
          <w:sz w:val="22"/>
          <w:szCs w:val="22"/>
        </w:rPr>
        <w:t>Petković</w:t>
      </w:r>
      <w:proofErr w:type="spellEnd"/>
      <w:r w:rsidRPr="00F0633D">
        <w:rPr>
          <w:sz w:val="22"/>
          <w:szCs w:val="22"/>
        </w:rPr>
        <w:t>, M.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BioMetals</w:t>
      </w:r>
      <w:proofErr w:type="spellEnd"/>
      <w:r>
        <w:rPr>
          <w:sz w:val="22"/>
          <w:szCs w:val="22"/>
        </w:rPr>
        <w:t xml:space="preserve"> </w:t>
      </w:r>
      <w:r w:rsidRPr="00F0633D">
        <w:rPr>
          <w:sz w:val="22"/>
          <w:szCs w:val="22"/>
        </w:rPr>
        <w:t>29, 921–933</w:t>
      </w:r>
      <w:r>
        <w:rPr>
          <w:sz w:val="20"/>
          <w:szCs w:val="20"/>
        </w:rPr>
        <w:t xml:space="preserve"> (</w:t>
      </w:r>
      <w:r w:rsidRPr="00F0633D">
        <w:rPr>
          <w:sz w:val="22"/>
          <w:szCs w:val="22"/>
        </w:rPr>
        <w:t>2016</w:t>
      </w:r>
      <w:r>
        <w:rPr>
          <w:sz w:val="22"/>
          <w:szCs w:val="22"/>
        </w:rPr>
        <w:t>)</w:t>
      </w:r>
      <w:r w:rsidR="008F06F1">
        <w:rPr>
          <w:sz w:val="22"/>
          <w:szCs w:val="22"/>
        </w:rPr>
        <w:t>.</w:t>
      </w:r>
    </w:p>
    <w:sectPr w:rsidR="00F0633D" w:rsidRPr="00E23BD2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szQ1MjU3MjU0MTS2NDNX0lEKTi0uzszPAykwrgUASKl2RCwAAAA="/>
  </w:docVars>
  <w:rsids>
    <w:rsidRoot w:val="00CC429D"/>
    <w:rsid w:val="00037E31"/>
    <w:rsid w:val="000A3267"/>
    <w:rsid w:val="000E24E1"/>
    <w:rsid w:val="0010060E"/>
    <w:rsid w:val="0016793B"/>
    <w:rsid w:val="0019259C"/>
    <w:rsid w:val="001C4C2D"/>
    <w:rsid w:val="001E5803"/>
    <w:rsid w:val="002344D6"/>
    <w:rsid w:val="00284FA3"/>
    <w:rsid w:val="002C3456"/>
    <w:rsid w:val="002D3E49"/>
    <w:rsid w:val="00336A61"/>
    <w:rsid w:val="003949BB"/>
    <w:rsid w:val="003B0B4A"/>
    <w:rsid w:val="003E0534"/>
    <w:rsid w:val="003E78D2"/>
    <w:rsid w:val="00454DC4"/>
    <w:rsid w:val="004E3764"/>
    <w:rsid w:val="005243C5"/>
    <w:rsid w:val="005C083B"/>
    <w:rsid w:val="005E0E65"/>
    <w:rsid w:val="00614221"/>
    <w:rsid w:val="006316BB"/>
    <w:rsid w:val="00634539"/>
    <w:rsid w:val="006370ED"/>
    <w:rsid w:val="006A6C19"/>
    <w:rsid w:val="006C1B0C"/>
    <w:rsid w:val="006F1839"/>
    <w:rsid w:val="00731D38"/>
    <w:rsid w:val="007714E1"/>
    <w:rsid w:val="00787C90"/>
    <w:rsid w:val="007D4E85"/>
    <w:rsid w:val="00817F14"/>
    <w:rsid w:val="00837D67"/>
    <w:rsid w:val="00887745"/>
    <w:rsid w:val="008F06F1"/>
    <w:rsid w:val="00933B5B"/>
    <w:rsid w:val="00937560"/>
    <w:rsid w:val="009530BA"/>
    <w:rsid w:val="0098310E"/>
    <w:rsid w:val="00991AF1"/>
    <w:rsid w:val="009E1E5E"/>
    <w:rsid w:val="00A64658"/>
    <w:rsid w:val="00AB49CF"/>
    <w:rsid w:val="00AF194F"/>
    <w:rsid w:val="00B215E4"/>
    <w:rsid w:val="00B77F59"/>
    <w:rsid w:val="00B95BFF"/>
    <w:rsid w:val="00BF5067"/>
    <w:rsid w:val="00C31D69"/>
    <w:rsid w:val="00C96B61"/>
    <w:rsid w:val="00CC429D"/>
    <w:rsid w:val="00CD7FD3"/>
    <w:rsid w:val="00D32527"/>
    <w:rsid w:val="00E23BD2"/>
    <w:rsid w:val="00E2743A"/>
    <w:rsid w:val="00EC6F4C"/>
    <w:rsid w:val="00F04C82"/>
    <w:rsid w:val="00F0633D"/>
    <w:rsid w:val="00F931A8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005974-AB64-43FB-8C9E-530B135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F0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6F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6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6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06F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6F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Milica Matijević</cp:lastModifiedBy>
  <cp:revision>7</cp:revision>
  <cp:lastPrinted>2007-04-17T12:39:00Z</cp:lastPrinted>
  <dcterms:created xsi:type="dcterms:W3CDTF">2021-06-30T16:47:00Z</dcterms:created>
  <dcterms:modified xsi:type="dcterms:W3CDTF">2021-06-30T17:33:00Z</dcterms:modified>
</cp:coreProperties>
</file>