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59" w:rsidRPr="00AC232D" w:rsidRDefault="00332FE9">
      <w:pPr>
        <w:pStyle w:val="Title"/>
        <w:rPr>
          <w:lang w:val="en-US"/>
        </w:rPr>
      </w:pPr>
      <w:r w:rsidRPr="00AC232D">
        <w:rPr>
          <w:lang w:val="en-US"/>
        </w:rPr>
        <w:t xml:space="preserve">Non-linear </w:t>
      </w:r>
      <w:r w:rsidR="00D96906" w:rsidRPr="00AC232D">
        <w:rPr>
          <w:lang w:val="en-US"/>
        </w:rPr>
        <w:t>De</w:t>
      </w:r>
      <w:r w:rsidR="00D96906">
        <w:rPr>
          <w:lang w:val="en-US"/>
        </w:rPr>
        <w:t>te</w:t>
      </w:r>
      <w:r w:rsidR="00D96906" w:rsidRPr="00AC232D">
        <w:rPr>
          <w:lang w:val="en-US"/>
        </w:rPr>
        <w:t>ction</w:t>
      </w:r>
      <w:r w:rsidRPr="00AC232D">
        <w:rPr>
          <w:lang w:val="en-US"/>
        </w:rPr>
        <w:t xml:space="preserve"> of THz radiation using a Metasurface Enhanced Sensor</w:t>
      </w:r>
    </w:p>
    <w:p w:rsidR="00416B30" w:rsidRDefault="00416B30" w:rsidP="00416B30">
      <w:pPr>
        <w:pStyle w:val="Heading1"/>
        <w:spacing w:before="0"/>
        <w:ind w:left="187" w:right="187"/>
        <w:jc w:val="center"/>
        <w:rPr>
          <w:b w:val="0"/>
          <w:sz w:val="22"/>
          <w:szCs w:val="22"/>
          <w:lang w:val="en-US"/>
        </w:rPr>
      </w:pPr>
    </w:p>
    <w:p w:rsidR="00416B30" w:rsidRPr="00416B30" w:rsidRDefault="00332FE9" w:rsidP="00416B30">
      <w:pPr>
        <w:pStyle w:val="Heading1"/>
        <w:spacing w:before="0"/>
        <w:ind w:left="187" w:right="187"/>
        <w:jc w:val="center"/>
        <w:rPr>
          <w:b w:val="0"/>
          <w:sz w:val="22"/>
          <w:szCs w:val="22"/>
          <w:lang w:val="en-US"/>
        </w:rPr>
      </w:pPr>
      <w:r w:rsidRPr="00416B30">
        <w:rPr>
          <w:b w:val="0"/>
          <w:sz w:val="22"/>
          <w:szCs w:val="22"/>
          <w:lang w:val="en-US"/>
        </w:rPr>
        <w:t>Hakan</w:t>
      </w:r>
      <w:r w:rsidRPr="00416B30">
        <w:rPr>
          <w:b w:val="0"/>
          <w:spacing w:val="-2"/>
          <w:sz w:val="22"/>
          <w:szCs w:val="22"/>
          <w:lang w:val="en-US"/>
        </w:rPr>
        <w:t xml:space="preserve"> </w:t>
      </w:r>
      <w:r w:rsidRPr="00416B30">
        <w:rPr>
          <w:b w:val="0"/>
          <w:sz w:val="22"/>
          <w:szCs w:val="22"/>
          <w:lang w:val="en-US"/>
        </w:rPr>
        <w:t>Altan</w:t>
      </w:r>
    </w:p>
    <w:p w:rsidR="00442B59" w:rsidRDefault="00332FE9" w:rsidP="00416B30">
      <w:pPr>
        <w:pStyle w:val="Heading1"/>
        <w:spacing w:before="0"/>
        <w:ind w:left="187" w:right="187"/>
        <w:jc w:val="center"/>
        <w:rPr>
          <w:b w:val="0"/>
          <w:i/>
          <w:sz w:val="22"/>
          <w:szCs w:val="22"/>
          <w:lang w:val="en-US"/>
        </w:rPr>
      </w:pPr>
      <w:r w:rsidRPr="00416B30">
        <w:rPr>
          <w:b w:val="0"/>
          <w:i/>
          <w:sz w:val="22"/>
          <w:szCs w:val="22"/>
          <w:lang w:val="en-US"/>
        </w:rPr>
        <w:t>Department</w:t>
      </w:r>
      <w:r w:rsidRPr="00416B30">
        <w:rPr>
          <w:b w:val="0"/>
          <w:i/>
          <w:spacing w:val="-4"/>
          <w:sz w:val="22"/>
          <w:szCs w:val="22"/>
          <w:lang w:val="en-US"/>
        </w:rPr>
        <w:t xml:space="preserve"> </w:t>
      </w:r>
      <w:r w:rsidRPr="00416B30">
        <w:rPr>
          <w:b w:val="0"/>
          <w:i/>
          <w:sz w:val="22"/>
          <w:szCs w:val="22"/>
          <w:lang w:val="en-US"/>
        </w:rPr>
        <w:t>of</w:t>
      </w:r>
      <w:r w:rsidRPr="00416B30">
        <w:rPr>
          <w:b w:val="0"/>
          <w:i/>
          <w:spacing w:val="-3"/>
          <w:sz w:val="22"/>
          <w:szCs w:val="22"/>
          <w:lang w:val="en-US"/>
        </w:rPr>
        <w:t xml:space="preserve"> </w:t>
      </w:r>
      <w:r w:rsidRPr="00416B30">
        <w:rPr>
          <w:b w:val="0"/>
          <w:i/>
          <w:sz w:val="22"/>
          <w:szCs w:val="22"/>
          <w:lang w:val="en-US"/>
        </w:rPr>
        <w:t>Physics, Middle</w:t>
      </w:r>
      <w:r w:rsidRPr="00416B30">
        <w:rPr>
          <w:b w:val="0"/>
          <w:i/>
          <w:spacing w:val="-2"/>
          <w:sz w:val="22"/>
          <w:szCs w:val="22"/>
          <w:lang w:val="en-US"/>
        </w:rPr>
        <w:t xml:space="preserve"> </w:t>
      </w:r>
      <w:r w:rsidRPr="00416B30">
        <w:rPr>
          <w:b w:val="0"/>
          <w:i/>
          <w:sz w:val="22"/>
          <w:szCs w:val="22"/>
          <w:lang w:val="en-US"/>
        </w:rPr>
        <w:t>East Technical</w:t>
      </w:r>
      <w:r w:rsidRPr="00416B30">
        <w:rPr>
          <w:b w:val="0"/>
          <w:i/>
          <w:spacing w:val="-3"/>
          <w:sz w:val="22"/>
          <w:szCs w:val="22"/>
          <w:lang w:val="en-US"/>
        </w:rPr>
        <w:t xml:space="preserve"> </w:t>
      </w:r>
      <w:r w:rsidRPr="00416B30">
        <w:rPr>
          <w:b w:val="0"/>
          <w:i/>
          <w:sz w:val="22"/>
          <w:szCs w:val="22"/>
          <w:lang w:val="en-US"/>
        </w:rPr>
        <w:t>University</w:t>
      </w:r>
      <w:r w:rsidR="00667F81" w:rsidRPr="00416B30">
        <w:rPr>
          <w:b w:val="0"/>
          <w:i/>
          <w:sz w:val="22"/>
          <w:szCs w:val="22"/>
          <w:lang w:val="en-US"/>
        </w:rPr>
        <w:t>,</w:t>
      </w:r>
      <w:r w:rsidRPr="00416B30">
        <w:rPr>
          <w:b w:val="0"/>
          <w:i/>
          <w:spacing w:val="1"/>
          <w:sz w:val="22"/>
          <w:szCs w:val="22"/>
          <w:lang w:val="en-US"/>
        </w:rPr>
        <w:t xml:space="preserve"> </w:t>
      </w:r>
      <w:r w:rsidR="00667F81" w:rsidRPr="00416B30">
        <w:rPr>
          <w:b w:val="0"/>
          <w:i/>
          <w:sz w:val="22"/>
          <w:szCs w:val="22"/>
          <w:lang w:val="en-US"/>
        </w:rPr>
        <w:t>Cankaya</w:t>
      </w:r>
      <w:r w:rsidRPr="00416B30">
        <w:rPr>
          <w:b w:val="0"/>
          <w:i/>
          <w:sz w:val="22"/>
          <w:szCs w:val="22"/>
          <w:lang w:val="en-US"/>
        </w:rPr>
        <w:t xml:space="preserve"> 06800</w:t>
      </w:r>
      <w:r w:rsidR="00667F81" w:rsidRPr="00416B30">
        <w:rPr>
          <w:b w:val="0"/>
          <w:i/>
          <w:sz w:val="22"/>
          <w:szCs w:val="22"/>
          <w:lang w:val="en-US"/>
        </w:rPr>
        <w:t>,</w:t>
      </w:r>
      <w:r w:rsidRPr="00416B30">
        <w:rPr>
          <w:b w:val="0"/>
          <w:i/>
          <w:spacing w:val="-4"/>
          <w:sz w:val="22"/>
          <w:szCs w:val="22"/>
          <w:lang w:val="en-US"/>
        </w:rPr>
        <w:t xml:space="preserve"> </w:t>
      </w:r>
      <w:r w:rsidRPr="00416B30">
        <w:rPr>
          <w:b w:val="0"/>
          <w:i/>
          <w:sz w:val="22"/>
          <w:szCs w:val="22"/>
          <w:lang w:val="en-US"/>
        </w:rPr>
        <w:t>Ankara,</w:t>
      </w:r>
      <w:r w:rsidRPr="00416B30">
        <w:rPr>
          <w:b w:val="0"/>
          <w:i/>
          <w:spacing w:val="-4"/>
          <w:sz w:val="22"/>
          <w:szCs w:val="22"/>
          <w:lang w:val="en-US"/>
        </w:rPr>
        <w:t xml:space="preserve"> </w:t>
      </w:r>
      <w:r w:rsidRPr="00416B30">
        <w:rPr>
          <w:b w:val="0"/>
          <w:i/>
          <w:sz w:val="22"/>
          <w:szCs w:val="22"/>
          <w:lang w:val="en-US"/>
        </w:rPr>
        <w:t>Turkey</w:t>
      </w:r>
    </w:p>
    <w:p w:rsidR="00416B30" w:rsidRPr="00416B30" w:rsidRDefault="00416B30" w:rsidP="00416B30">
      <w:pPr>
        <w:pStyle w:val="Heading1"/>
        <w:spacing w:before="0"/>
        <w:ind w:left="187" w:right="187"/>
        <w:jc w:val="center"/>
        <w:rPr>
          <w:b w:val="0"/>
          <w:lang w:val="en-US"/>
        </w:rPr>
      </w:pPr>
      <w:r w:rsidRPr="00416B30">
        <w:rPr>
          <w:b w:val="0"/>
          <w:i/>
          <w:lang w:val="en-US"/>
        </w:rPr>
        <w:t>haltan@metu.edu.tr</w:t>
      </w:r>
    </w:p>
    <w:p w:rsidR="00442B59" w:rsidRPr="00AC232D" w:rsidRDefault="00442B59">
      <w:pPr>
        <w:pStyle w:val="BodyText"/>
        <w:spacing w:before="6"/>
        <w:rPr>
          <w:i/>
          <w:sz w:val="26"/>
          <w:lang w:val="en-US"/>
        </w:rPr>
      </w:pPr>
    </w:p>
    <w:p w:rsidR="00442B59" w:rsidRPr="00416B30" w:rsidRDefault="00332FE9">
      <w:pPr>
        <w:pStyle w:val="BodyText"/>
        <w:ind w:left="116" w:right="109"/>
        <w:jc w:val="both"/>
        <w:rPr>
          <w:sz w:val="22"/>
          <w:szCs w:val="22"/>
          <w:lang w:val="en-US"/>
        </w:rPr>
      </w:pPr>
      <w:r w:rsidRPr="00416B30">
        <w:rPr>
          <w:sz w:val="22"/>
          <w:szCs w:val="22"/>
          <w:lang w:val="en-US"/>
        </w:rPr>
        <w:t>The arrangements of subwavelength inclusions in a metasurface can serve as an effective absorber for the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 xml:space="preserve">terahertz region. </w:t>
      </w:r>
      <w:r w:rsidR="00AC232D" w:rsidRPr="00416B30">
        <w:rPr>
          <w:sz w:val="22"/>
          <w:szCs w:val="22"/>
          <w:lang w:val="en-US"/>
        </w:rPr>
        <w:t xml:space="preserve">Furthermore, depending on the geometry such structures can lead to strong field confinement effects. </w:t>
      </w:r>
      <w:r w:rsidRPr="00416B30">
        <w:rPr>
          <w:sz w:val="22"/>
          <w:szCs w:val="22"/>
          <w:lang w:val="en-US"/>
        </w:rPr>
        <w:t xml:space="preserve">When such an absorber </w:t>
      </w:r>
      <w:r w:rsidR="00AC232D" w:rsidRPr="00416B30">
        <w:rPr>
          <w:sz w:val="22"/>
          <w:szCs w:val="22"/>
          <w:lang w:val="en-US"/>
        </w:rPr>
        <w:t xml:space="preserve">that has such inclusions which exhibit field confinement </w:t>
      </w:r>
      <w:r w:rsidRPr="00416B30">
        <w:rPr>
          <w:sz w:val="22"/>
          <w:szCs w:val="22"/>
          <w:lang w:val="en-US"/>
        </w:rPr>
        <w:t>is combined with a unique material, the absorption can induce effects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 xml:space="preserve">that can lead to a change in the materials electrical properties. </w:t>
      </w:r>
      <w:r w:rsidR="00AC232D" w:rsidRPr="00416B30">
        <w:rPr>
          <w:sz w:val="22"/>
          <w:szCs w:val="22"/>
          <w:lang w:val="en-US"/>
        </w:rPr>
        <w:t xml:space="preserve">The optimization of such structures is key to the development of a new class of sensors and detectors in the THz region. To realize such a vision, the use of materials which exhibit conductive changes necessary. </w:t>
      </w:r>
      <w:r w:rsidRPr="00416B30">
        <w:rPr>
          <w:sz w:val="22"/>
          <w:szCs w:val="22"/>
          <w:lang w:val="en-US"/>
        </w:rPr>
        <w:t>Vanadium dioxide shows a passive and reversible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change from monoclinic insulator phase to metallic tetragonal rutile structure by using external stimuli such as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temperature (340K),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photo excitation, electric field, mechanical strain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or magnetic field [1,2].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Upon</w:t>
      </w:r>
      <w:r w:rsidR="00AC232D" w:rsidRPr="00416B30">
        <w:rPr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absorption</w:t>
      </w:r>
      <w:r w:rsidR="00AC232D" w:rsidRPr="00416B30">
        <w:rPr>
          <w:sz w:val="22"/>
          <w:szCs w:val="22"/>
          <w:lang w:val="en-US"/>
        </w:rPr>
        <w:t xml:space="preserve"> </w:t>
      </w:r>
      <w:r w:rsidRPr="00416B30">
        <w:rPr>
          <w:spacing w:val="-47"/>
          <w:sz w:val="22"/>
          <w:szCs w:val="22"/>
          <w:lang w:val="en-US"/>
        </w:rPr>
        <w:t xml:space="preserve"> </w:t>
      </w:r>
      <w:r w:rsidR="00AC232D" w:rsidRPr="00416B30">
        <w:rPr>
          <w:spacing w:val="-47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of the THz radiation, the high electric fields that are generated inside the gaps of the metasurface can serve as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trigger points, as was shown previously using kV strength THz E-fields [1]. By designing a better sensor which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takes advantage of this non-linear enhancement one can lower this value to more accessible THz electric field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 xml:space="preserve">strengths. </w:t>
      </w:r>
      <w:r w:rsidR="00AC232D" w:rsidRPr="00416B30">
        <w:rPr>
          <w:sz w:val="22"/>
          <w:szCs w:val="22"/>
          <w:lang w:val="en-US"/>
        </w:rPr>
        <w:t>U</w:t>
      </w:r>
      <w:r w:rsidRPr="00416B30">
        <w:rPr>
          <w:sz w:val="22"/>
          <w:szCs w:val="22"/>
          <w:lang w:val="en-US"/>
        </w:rPr>
        <w:t>tilizing various metasurface designs we examined the insulator to metal transition in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VO</w:t>
      </w:r>
      <w:r w:rsidRPr="00416B30">
        <w:rPr>
          <w:sz w:val="22"/>
          <w:szCs w:val="22"/>
          <w:vertAlign w:val="subscript"/>
          <w:lang w:val="en-US"/>
        </w:rPr>
        <w:t>2</w:t>
      </w:r>
      <w:r w:rsidRPr="00416B30">
        <w:rPr>
          <w:sz w:val="22"/>
          <w:szCs w:val="22"/>
          <w:lang w:val="en-US"/>
        </w:rPr>
        <w:t xml:space="preserve"> when illuminated by THz radiation. </w:t>
      </w:r>
      <w:r w:rsidR="00D96906" w:rsidRPr="00416B30">
        <w:rPr>
          <w:sz w:val="22"/>
          <w:szCs w:val="22"/>
          <w:lang w:val="en-US"/>
        </w:rPr>
        <w:t>For a unique unit-cell design based on a SRR-like structure we found that field enhancement is not necessarily related to the resonant frequency of the unit cell structure. The inclusion of g</w:t>
      </w:r>
      <w:r w:rsidRPr="00416B30">
        <w:rPr>
          <w:sz w:val="22"/>
          <w:szCs w:val="22"/>
          <w:lang w:val="en-US"/>
        </w:rPr>
        <w:t>aps whose lengths were varied as 0.5, 1, 1.5µm that are oriented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 xml:space="preserve">perpendicularly to the polarized THz fields served as field enhancement centers. </w:t>
      </w:r>
      <w:r w:rsidR="00D96906" w:rsidRPr="00416B30">
        <w:rPr>
          <w:sz w:val="22"/>
          <w:szCs w:val="22"/>
          <w:lang w:val="en-US"/>
        </w:rPr>
        <w:t>Comparisons are made for s</w:t>
      </w:r>
      <w:r w:rsidRPr="00416B30">
        <w:rPr>
          <w:sz w:val="22"/>
          <w:szCs w:val="22"/>
          <w:lang w:val="en-US"/>
        </w:rPr>
        <w:t>ingle and double notched gaps</w:t>
      </w:r>
      <w:r w:rsidR="00D96906" w:rsidRPr="00416B30">
        <w:rPr>
          <w:sz w:val="22"/>
          <w:szCs w:val="22"/>
          <w:lang w:val="en-US"/>
        </w:rPr>
        <w:t>. Typically, we found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maximum in gap field enhancement value</w:t>
      </w:r>
      <w:r w:rsidR="00D96906" w:rsidRPr="00416B30">
        <w:rPr>
          <w:sz w:val="22"/>
          <w:szCs w:val="22"/>
          <w:lang w:val="en-US"/>
        </w:rPr>
        <w:t xml:space="preserve">s near 100 </w:t>
      </w:r>
      <w:r w:rsidRPr="00416B30">
        <w:rPr>
          <w:sz w:val="22"/>
          <w:szCs w:val="22"/>
          <w:lang w:val="en-US"/>
        </w:rPr>
        <w:t>for a 1.0µm gap size</w:t>
      </w:r>
      <w:r w:rsidR="00D96906" w:rsidRPr="00416B30">
        <w:rPr>
          <w:sz w:val="22"/>
          <w:szCs w:val="22"/>
          <w:lang w:val="en-US"/>
        </w:rPr>
        <w:t>s</w:t>
      </w:r>
      <w:r w:rsidRPr="00416B30">
        <w:rPr>
          <w:sz w:val="22"/>
          <w:szCs w:val="22"/>
          <w:lang w:val="en-US"/>
        </w:rPr>
        <w:t xml:space="preserve">. </w:t>
      </w:r>
      <w:r w:rsidR="00D96906" w:rsidRPr="00416B30">
        <w:rPr>
          <w:sz w:val="22"/>
          <w:szCs w:val="22"/>
          <w:lang w:val="en-US"/>
        </w:rPr>
        <w:t xml:space="preserve">The multiplication </w:t>
      </w:r>
      <w:r w:rsidRPr="00416B30">
        <w:rPr>
          <w:sz w:val="22"/>
          <w:szCs w:val="22"/>
          <w:lang w:val="en-US"/>
        </w:rPr>
        <w:t>shows that the non-linear enhancement is highly dependent on the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geometry of the electrodes for a fixed unit cell wall thickness. Such enhancements can be exploited in designing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="00D96906" w:rsidRPr="00416B30">
        <w:rPr>
          <w:sz w:val="22"/>
          <w:szCs w:val="22"/>
          <w:lang w:val="en-US"/>
        </w:rPr>
        <w:t>detectors</w:t>
      </w:r>
      <w:r w:rsidRPr="00416B30">
        <w:rPr>
          <w:spacing w:val="1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in</w:t>
      </w:r>
      <w:r w:rsidRPr="00416B30">
        <w:rPr>
          <w:spacing w:val="2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the</w:t>
      </w:r>
      <w:r w:rsidRPr="00416B30">
        <w:rPr>
          <w:spacing w:val="-6"/>
          <w:sz w:val="22"/>
          <w:szCs w:val="22"/>
          <w:lang w:val="en-US"/>
        </w:rPr>
        <w:t xml:space="preserve"> </w:t>
      </w:r>
      <w:r w:rsidR="00D96906" w:rsidRPr="00416B30">
        <w:rPr>
          <w:sz w:val="22"/>
          <w:szCs w:val="22"/>
          <w:lang w:val="en-US"/>
        </w:rPr>
        <w:t>sub-1</w:t>
      </w:r>
      <w:r w:rsidRPr="00416B30">
        <w:rPr>
          <w:spacing w:val="-8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THz</w:t>
      </w:r>
      <w:r w:rsidRPr="00416B30">
        <w:rPr>
          <w:spacing w:val="4"/>
          <w:sz w:val="22"/>
          <w:szCs w:val="22"/>
          <w:lang w:val="en-US"/>
        </w:rPr>
        <w:t xml:space="preserve"> </w:t>
      </w:r>
      <w:r w:rsidRPr="00416B30">
        <w:rPr>
          <w:sz w:val="22"/>
          <w:szCs w:val="22"/>
          <w:lang w:val="en-US"/>
        </w:rPr>
        <w:t>region</w:t>
      </w:r>
      <w:r w:rsidR="00D96906" w:rsidRPr="00416B30">
        <w:rPr>
          <w:sz w:val="22"/>
          <w:szCs w:val="22"/>
          <w:lang w:val="en-US"/>
        </w:rPr>
        <w:t xml:space="preserve"> where many applications from communications to sensing are taking place</w:t>
      </w:r>
      <w:r w:rsidRPr="00416B30">
        <w:rPr>
          <w:sz w:val="22"/>
          <w:szCs w:val="22"/>
          <w:lang w:val="en-US"/>
        </w:rPr>
        <w:t>.</w:t>
      </w:r>
    </w:p>
    <w:p w:rsidR="00442B59" w:rsidRPr="00AC232D" w:rsidRDefault="00442B59" w:rsidP="00610401">
      <w:pPr>
        <w:pStyle w:val="BodyText"/>
        <w:jc w:val="center"/>
        <w:rPr>
          <w:lang w:val="en-US"/>
        </w:rPr>
      </w:pPr>
    </w:p>
    <w:p w:rsidR="00442B59" w:rsidRPr="00AC232D" w:rsidRDefault="00332FE9" w:rsidP="00610401">
      <w:pPr>
        <w:pStyle w:val="BodyText"/>
        <w:jc w:val="center"/>
        <w:rPr>
          <w:lang w:val="en-US"/>
        </w:rPr>
      </w:pPr>
      <w:r w:rsidRPr="00AC232D">
        <w:rPr>
          <w:lang w:val="en-US"/>
        </w:rPr>
        <w:t>a)</w:t>
      </w:r>
      <w:r w:rsidRPr="00AC232D">
        <w:rPr>
          <w:spacing w:val="12"/>
          <w:lang w:val="en-US"/>
        </w:rPr>
        <w:t xml:space="preserve"> </w:t>
      </w:r>
      <w:r w:rsidR="00610401" w:rsidRPr="00D7761E">
        <w:rPr>
          <w:noProof/>
          <w:sz w:val="24"/>
          <w:szCs w:val="24"/>
          <w:lang w:val="en-US"/>
        </w:rPr>
        <w:drawing>
          <wp:inline distT="0" distB="0" distL="0" distR="0">
            <wp:extent cx="2287472" cy="1980506"/>
            <wp:effectExtent l="0" t="0" r="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72" cy="201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32D">
        <w:rPr>
          <w:spacing w:val="-2"/>
          <w:lang w:val="en-US"/>
        </w:rPr>
        <w:t>b)</w:t>
      </w:r>
      <w:r w:rsidRPr="00AC232D">
        <w:rPr>
          <w:spacing w:val="20"/>
          <w:lang w:val="en-US"/>
        </w:rPr>
        <w:t xml:space="preserve"> </w:t>
      </w:r>
      <w:r w:rsidR="00610401" w:rsidRPr="002312B7">
        <w:object w:dxaOrig="5175" w:dyaOrig="3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155.2pt" o:ole="">
            <v:imagedata r:id="rId6" o:title=""/>
          </v:shape>
          <o:OLEObject Type="Embed" ProgID="Origin95.Graph" ShapeID="_x0000_i1025" DrawAspect="Content" ObjectID="_1683899439" r:id="rId7"/>
        </w:object>
      </w:r>
    </w:p>
    <w:p w:rsidR="00442B59" w:rsidRPr="00ED1955" w:rsidRDefault="00610401" w:rsidP="00610401">
      <w:pPr>
        <w:jc w:val="center"/>
        <w:rPr>
          <w:sz w:val="20"/>
          <w:szCs w:val="20"/>
          <w:lang w:val="en-US"/>
        </w:rPr>
      </w:pPr>
      <w:r w:rsidRPr="00ED1955">
        <w:rPr>
          <w:position w:val="1"/>
          <w:sz w:val="20"/>
          <w:szCs w:val="20"/>
          <w:lang w:val="en-US"/>
        </w:rPr>
        <w:t>Figure</w:t>
      </w:r>
      <w:r w:rsidR="00332FE9" w:rsidRPr="00ED1955">
        <w:rPr>
          <w:position w:val="1"/>
          <w:sz w:val="20"/>
          <w:szCs w:val="20"/>
          <w:lang w:val="en-US"/>
        </w:rPr>
        <w:t xml:space="preserve"> 1</w:t>
      </w:r>
      <w:r w:rsidR="00ED1955" w:rsidRPr="00ED1955">
        <w:rPr>
          <w:position w:val="1"/>
          <w:sz w:val="20"/>
          <w:szCs w:val="20"/>
          <w:lang w:val="en-US"/>
        </w:rPr>
        <w:t>.</w:t>
      </w:r>
      <w:r w:rsidR="00332FE9" w:rsidRPr="00ED1955">
        <w:rPr>
          <w:position w:val="1"/>
          <w:sz w:val="20"/>
          <w:szCs w:val="20"/>
          <w:lang w:val="en-US"/>
        </w:rPr>
        <w:t xml:space="preserve"> The metasurface unit cell is comprised of a gold patterned layer deposited on VO</w:t>
      </w:r>
      <w:r w:rsidR="00332FE9" w:rsidRPr="00ED1955">
        <w:rPr>
          <w:sz w:val="20"/>
          <w:szCs w:val="20"/>
          <w:lang w:val="en-US"/>
        </w:rPr>
        <w:t>2</w:t>
      </w:r>
      <w:r w:rsidR="00332FE9" w:rsidRPr="00ED1955">
        <w:rPr>
          <w:spacing w:val="1"/>
          <w:sz w:val="20"/>
          <w:szCs w:val="20"/>
          <w:lang w:val="en-US"/>
        </w:rPr>
        <w:t xml:space="preserve"> </w:t>
      </w:r>
      <w:r w:rsidR="00332FE9" w:rsidRPr="00ED1955">
        <w:rPr>
          <w:position w:val="1"/>
          <w:sz w:val="20"/>
          <w:szCs w:val="20"/>
          <w:lang w:val="en-US"/>
        </w:rPr>
        <w:t>and is designed to have a</w:t>
      </w:r>
      <w:r w:rsidR="00332FE9" w:rsidRPr="00ED1955">
        <w:rPr>
          <w:spacing w:val="1"/>
          <w:position w:val="1"/>
          <w:sz w:val="20"/>
          <w:szCs w:val="20"/>
          <w:lang w:val="en-US"/>
        </w:rPr>
        <w:t xml:space="preserve"> </w:t>
      </w:r>
      <w:r w:rsidR="00332FE9" w:rsidRPr="00ED1955">
        <w:rPr>
          <w:sz w:val="20"/>
          <w:szCs w:val="20"/>
          <w:lang w:val="en-US"/>
        </w:rPr>
        <w:t>resonant absorption below 1 THz. To explore non-linear enhancement behavior two cases were analyzed: a) single</w:t>
      </w:r>
      <w:r w:rsidR="00332FE9" w:rsidRPr="00ED1955">
        <w:rPr>
          <w:spacing w:val="1"/>
          <w:sz w:val="20"/>
          <w:szCs w:val="20"/>
          <w:lang w:val="en-US"/>
        </w:rPr>
        <w:t xml:space="preserve"> </w:t>
      </w:r>
      <w:r w:rsidR="00332FE9" w:rsidRPr="00ED1955">
        <w:rPr>
          <w:sz w:val="20"/>
          <w:szCs w:val="20"/>
          <w:lang w:val="en-US"/>
        </w:rPr>
        <w:t>notched b)</w:t>
      </w:r>
      <w:r w:rsidR="00332FE9" w:rsidRPr="00ED1955">
        <w:rPr>
          <w:spacing w:val="5"/>
          <w:sz w:val="20"/>
          <w:szCs w:val="20"/>
          <w:lang w:val="en-US"/>
        </w:rPr>
        <w:t xml:space="preserve"> </w:t>
      </w:r>
      <w:r w:rsidR="00416B30" w:rsidRPr="00ED1955">
        <w:rPr>
          <w:sz w:val="20"/>
          <w:szCs w:val="20"/>
          <w:lang w:val="en-US"/>
        </w:rPr>
        <w:t>In</w:t>
      </w:r>
      <w:r w:rsidR="00416B30" w:rsidRPr="00ED1955">
        <w:rPr>
          <w:spacing w:val="1"/>
          <w:sz w:val="20"/>
          <w:szCs w:val="20"/>
          <w:lang w:val="en-US"/>
        </w:rPr>
        <w:t xml:space="preserve"> </w:t>
      </w:r>
      <w:r w:rsidR="00416B30" w:rsidRPr="00ED1955">
        <w:rPr>
          <w:sz w:val="20"/>
          <w:szCs w:val="20"/>
          <w:lang w:val="en-US"/>
        </w:rPr>
        <w:t>gap field</w:t>
      </w:r>
      <w:r w:rsidR="00416B30" w:rsidRPr="00ED1955">
        <w:rPr>
          <w:spacing w:val="1"/>
          <w:sz w:val="20"/>
          <w:szCs w:val="20"/>
          <w:lang w:val="en-US"/>
        </w:rPr>
        <w:t xml:space="preserve"> </w:t>
      </w:r>
      <w:r w:rsidR="00416B30" w:rsidRPr="00ED1955">
        <w:rPr>
          <w:sz w:val="20"/>
          <w:szCs w:val="20"/>
          <w:lang w:val="en-US"/>
        </w:rPr>
        <w:t>enhancement values</w:t>
      </w:r>
    </w:p>
    <w:p w:rsidR="00442B59" w:rsidRPr="00ED1955" w:rsidRDefault="00442B59">
      <w:pPr>
        <w:pStyle w:val="BodyText"/>
        <w:spacing w:before="6"/>
        <w:rPr>
          <w:rFonts w:ascii="Cambria"/>
          <w:sz w:val="13"/>
          <w:lang w:val="en-US"/>
        </w:rPr>
      </w:pPr>
    </w:p>
    <w:p w:rsidR="00610401" w:rsidRPr="00ED1955" w:rsidRDefault="00610401">
      <w:pPr>
        <w:pStyle w:val="BodyText"/>
        <w:rPr>
          <w:rFonts w:ascii="Cambria"/>
          <w:sz w:val="18"/>
          <w:lang w:val="en-US"/>
        </w:rPr>
      </w:pPr>
    </w:p>
    <w:p w:rsidR="00442B59" w:rsidRPr="00610401" w:rsidRDefault="00610401" w:rsidP="00610401">
      <w:pPr>
        <w:pStyle w:val="Heading1"/>
        <w:spacing w:before="0"/>
        <w:ind w:left="0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REFERENCES</w:t>
      </w:r>
    </w:p>
    <w:p w:rsidR="00442B59" w:rsidRPr="00ED1955" w:rsidRDefault="00332FE9" w:rsidP="00610401">
      <w:pPr>
        <w:jc w:val="both"/>
        <w:rPr>
          <w:lang w:val="en-US"/>
        </w:rPr>
      </w:pPr>
      <w:r w:rsidRPr="00ED1955">
        <w:rPr>
          <w:rFonts w:ascii="Symbol" w:hAnsi="Symbol"/>
          <w:lang w:val="en-US"/>
        </w:rPr>
        <w:t></w:t>
      </w:r>
      <w:r w:rsidRPr="00ED1955">
        <w:rPr>
          <w:lang w:val="en-US"/>
        </w:rPr>
        <w:t>1</w:t>
      </w:r>
      <w:r w:rsidRPr="00ED1955">
        <w:rPr>
          <w:rFonts w:ascii="Symbol" w:hAnsi="Symbol"/>
          <w:lang w:val="en-US"/>
        </w:rPr>
        <w:t></w:t>
      </w:r>
      <w:r w:rsidRPr="00ED1955">
        <w:rPr>
          <w:spacing w:val="-10"/>
          <w:lang w:val="en-US"/>
        </w:rPr>
        <w:t xml:space="preserve"> </w:t>
      </w:r>
      <w:r w:rsidRPr="00ED1955">
        <w:rPr>
          <w:lang w:val="en-US"/>
        </w:rPr>
        <w:t>M.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Liu,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Y.</w:t>
      </w:r>
      <w:r w:rsidRPr="00ED1955">
        <w:rPr>
          <w:spacing w:val="-6"/>
          <w:lang w:val="en-US"/>
        </w:rPr>
        <w:t xml:space="preserve"> </w:t>
      </w:r>
      <w:r w:rsidRPr="00ED1955">
        <w:rPr>
          <w:lang w:val="en-US"/>
        </w:rPr>
        <w:t>H.</w:t>
      </w:r>
      <w:r w:rsidRPr="00ED1955">
        <w:rPr>
          <w:spacing w:val="-6"/>
          <w:lang w:val="en-US"/>
        </w:rPr>
        <w:t xml:space="preserve"> </w:t>
      </w:r>
      <w:r w:rsidRPr="00ED1955">
        <w:rPr>
          <w:lang w:val="en-US"/>
        </w:rPr>
        <w:t>Hwang,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H.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Tao,</w:t>
      </w:r>
      <w:r w:rsidRPr="00ED1955">
        <w:rPr>
          <w:spacing w:val="1"/>
          <w:lang w:val="en-US"/>
        </w:rPr>
        <w:t xml:space="preserve"> </w:t>
      </w:r>
      <w:r w:rsidRPr="00ED1955">
        <w:rPr>
          <w:lang w:val="en-US"/>
        </w:rPr>
        <w:t>A.C.,</w:t>
      </w:r>
      <w:r w:rsidRPr="00ED1955">
        <w:rPr>
          <w:spacing w:val="-3"/>
          <w:lang w:val="en-US"/>
        </w:rPr>
        <w:t xml:space="preserve"> </w:t>
      </w:r>
      <w:r w:rsidRPr="00ED1955">
        <w:rPr>
          <w:lang w:val="en-US"/>
        </w:rPr>
        <w:t>Strikwerda,</w:t>
      </w:r>
      <w:r w:rsidRPr="00ED1955">
        <w:rPr>
          <w:spacing w:val="3"/>
          <w:lang w:val="en-US"/>
        </w:rPr>
        <w:t xml:space="preserve"> </w:t>
      </w:r>
      <w:r w:rsidRPr="00ED1955">
        <w:rPr>
          <w:lang w:val="en-US"/>
        </w:rPr>
        <w:t>K.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Fan,</w:t>
      </w:r>
      <w:r w:rsidRPr="00ED1955">
        <w:rPr>
          <w:spacing w:val="-4"/>
          <w:lang w:val="en-US"/>
        </w:rPr>
        <w:t xml:space="preserve"> </w:t>
      </w:r>
      <w:r w:rsidRPr="00ED1955">
        <w:rPr>
          <w:lang w:val="en-US"/>
        </w:rPr>
        <w:t>G.R.Keiser,</w:t>
      </w:r>
      <w:r w:rsidRPr="00ED1955">
        <w:rPr>
          <w:spacing w:val="4"/>
          <w:lang w:val="en-US"/>
        </w:rPr>
        <w:t xml:space="preserve"> </w:t>
      </w:r>
      <w:r w:rsidRPr="00ED1955">
        <w:rPr>
          <w:lang w:val="en-US"/>
        </w:rPr>
        <w:t>A.J.Sternbach, K.G.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West,</w:t>
      </w:r>
      <w:r w:rsidRPr="00ED1955">
        <w:rPr>
          <w:spacing w:val="-1"/>
          <w:lang w:val="en-US"/>
        </w:rPr>
        <w:t xml:space="preserve"> </w:t>
      </w:r>
      <w:r w:rsidRPr="00ED1955">
        <w:rPr>
          <w:lang w:val="en-US"/>
        </w:rPr>
        <w:t>S.</w:t>
      </w:r>
      <w:r w:rsidRPr="00ED1955">
        <w:rPr>
          <w:spacing w:val="2"/>
          <w:lang w:val="en-US"/>
        </w:rPr>
        <w:t xml:space="preserve"> </w:t>
      </w:r>
      <w:r w:rsidRPr="00ED1955">
        <w:rPr>
          <w:lang w:val="en-US"/>
        </w:rPr>
        <w:t>Kittiwatanakul,</w:t>
      </w:r>
      <w:r w:rsidRPr="00ED1955">
        <w:rPr>
          <w:spacing w:val="-5"/>
          <w:lang w:val="en-US"/>
        </w:rPr>
        <w:t xml:space="preserve"> </w:t>
      </w:r>
      <w:r w:rsidRPr="00ED1955">
        <w:rPr>
          <w:lang w:val="en-US"/>
        </w:rPr>
        <w:t>J.</w:t>
      </w:r>
      <w:r w:rsidRPr="00ED1955">
        <w:rPr>
          <w:spacing w:val="-6"/>
          <w:lang w:val="en-US"/>
        </w:rPr>
        <w:t xml:space="preserve"> </w:t>
      </w:r>
      <w:r w:rsidRPr="00ED1955">
        <w:rPr>
          <w:lang w:val="en-US"/>
        </w:rPr>
        <w:t>Lu,</w:t>
      </w:r>
      <w:r w:rsidRPr="00ED1955">
        <w:rPr>
          <w:spacing w:val="-1"/>
          <w:lang w:val="en-US"/>
        </w:rPr>
        <w:t xml:space="preserve"> </w:t>
      </w:r>
      <w:r w:rsidRPr="00ED1955">
        <w:rPr>
          <w:lang w:val="en-US"/>
        </w:rPr>
        <w:t>S.A.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Wolf,</w:t>
      </w:r>
      <w:r w:rsidRPr="00ED1955">
        <w:rPr>
          <w:spacing w:val="-2"/>
          <w:lang w:val="en-US"/>
        </w:rPr>
        <w:t xml:space="preserve"> </w:t>
      </w:r>
      <w:r w:rsidRPr="00ED1955">
        <w:rPr>
          <w:lang w:val="en-US"/>
        </w:rPr>
        <w:t>F.</w:t>
      </w:r>
      <w:r w:rsidR="00610401" w:rsidRPr="00ED1955">
        <w:rPr>
          <w:lang w:val="en-US"/>
        </w:rPr>
        <w:t xml:space="preserve"> </w:t>
      </w:r>
      <w:r w:rsidRPr="00ED1955">
        <w:rPr>
          <w:lang w:val="en-US"/>
        </w:rPr>
        <w:t>G. Omenetto, X. Zhang, K.A. Nelson, and Rd. D. Averitt, "Terahertz Field-Induced Insulator-to-Metal Transition in Vanadium Dioxide</w:t>
      </w:r>
      <w:r w:rsidRPr="00ED1955">
        <w:rPr>
          <w:spacing w:val="-37"/>
          <w:lang w:val="en-US"/>
        </w:rPr>
        <w:t xml:space="preserve"> </w:t>
      </w:r>
      <w:r w:rsidRPr="00ED1955">
        <w:rPr>
          <w:lang w:val="en-US"/>
        </w:rPr>
        <w:t>Metamaterial,"</w:t>
      </w:r>
      <w:r w:rsidRPr="00ED1955">
        <w:rPr>
          <w:spacing w:val="-5"/>
          <w:lang w:val="en-US"/>
        </w:rPr>
        <w:t xml:space="preserve"> </w:t>
      </w:r>
      <w:r w:rsidRPr="00ED1955">
        <w:rPr>
          <w:lang w:val="en-US"/>
        </w:rPr>
        <w:t>Nature</w:t>
      </w:r>
      <w:r w:rsidRPr="00ED1955">
        <w:rPr>
          <w:i/>
          <w:lang w:val="en-US"/>
        </w:rPr>
        <w:t>.</w:t>
      </w:r>
      <w:r w:rsidRPr="00ED1955">
        <w:rPr>
          <w:i/>
          <w:spacing w:val="-3"/>
          <w:lang w:val="en-US"/>
        </w:rPr>
        <w:t xml:space="preserve"> </w:t>
      </w:r>
      <w:r w:rsidRPr="00ED1955">
        <w:rPr>
          <w:lang w:val="en-US"/>
        </w:rPr>
        <w:t>487,</w:t>
      </w:r>
      <w:r w:rsidRPr="00ED1955">
        <w:rPr>
          <w:spacing w:val="-3"/>
          <w:lang w:val="en-US"/>
        </w:rPr>
        <w:t xml:space="preserve"> </w:t>
      </w:r>
      <w:r w:rsidRPr="00ED1955">
        <w:rPr>
          <w:lang w:val="en-US"/>
        </w:rPr>
        <w:t>345-348 (2012).</w:t>
      </w:r>
    </w:p>
    <w:p w:rsidR="00442B59" w:rsidRPr="00ED1955" w:rsidRDefault="00332FE9" w:rsidP="00610401">
      <w:pPr>
        <w:jc w:val="both"/>
        <w:rPr>
          <w:lang w:val="en-US"/>
        </w:rPr>
      </w:pPr>
      <w:r w:rsidRPr="00ED1955">
        <w:rPr>
          <w:rFonts w:ascii="Symbol" w:hAnsi="Symbol"/>
          <w:position w:val="2"/>
          <w:lang w:val="en-US"/>
        </w:rPr>
        <w:t></w:t>
      </w:r>
      <w:r w:rsidRPr="00ED1955">
        <w:rPr>
          <w:position w:val="2"/>
          <w:lang w:val="en-US"/>
        </w:rPr>
        <w:t>2</w:t>
      </w:r>
      <w:r w:rsidRPr="00ED1955">
        <w:rPr>
          <w:rFonts w:ascii="Symbol" w:hAnsi="Symbol"/>
          <w:position w:val="2"/>
          <w:lang w:val="en-US"/>
        </w:rPr>
        <w:t></w:t>
      </w:r>
      <w:r w:rsidRPr="00ED1955">
        <w:rPr>
          <w:position w:val="2"/>
          <w:lang w:val="en-US"/>
        </w:rPr>
        <w:t xml:space="preserve"> S. Lysenko, A.J. Rua, V. Vikhmin, J. Jimenez, F. Fernandez and H. Liu, "Light-Induced Ultrafast Phase Transitions in VO</w:t>
      </w:r>
      <w:r w:rsidRPr="00ED1955">
        <w:rPr>
          <w:lang w:val="en-US"/>
        </w:rPr>
        <w:t xml:space="preserve">2 </w:t>
      </w:r>
      <w:r w:rsidRPr="00ED1955">
        <w:rPr>
          <w:position w:val="2"/>
          <w:lang w:val="en-US"/>
        </w:rPr>
        <w:t>Thin Film,"</w:t>
      </w:r>
      <w:r w:rsidRPr="00ED1955">
        <w:rPr>
          <w:spacing w:val="-37"/>
          <w:position w:val="2"/>
          <w:lang w:val="en-US"/>
        </w:rPr>
        <w:t xml:space="preserve"> </w:t>
      </w:r>
      <w:r w:rsidRPr="00ED1955">
        <w:rPr>
          <w:lang w:val="en-US"/>
        </w:rPr>
        <w:t>Applied</w:t>
      </w:r>
      <w:r w:rsidRPr="00ED1955">
        <w:rPr>
          <w:spacing w:val="-1"/>
          <w:lang w:val="en-US"/>
        </w:rPr>
        <w:t xml:space="preserve"> </w:t>
      </w:r>
      <w:r w:rsidRPr="00ED1955">
        <w:rPr>
          <w:lang w:val="en-US"/>
        </w:rPr>
        <w:t>Surface</w:t>
      </w:r>
      <w:r w:rsidRPr="00ED1955">
        <w:rPr>
          <w:spacing w:val="-1"/>
          <w:lang w:val="en-US"/>
        </w:rPr>
        <w:t xml:space="preserve"> </w:t>
      </w:r>
      <w:r w:rsidRPr="00ED1955">
        <w:rPr>
          <w:lang w:val="en-US"/>
        </w:rPr>
        <w:t>Science</w:t>
      </w:r>
      <w:r w:rsidRPr="00ED1955">
        <w:rPr>
          <w:i/>
          <w:lang w:val="en-US"/>
        </w:rPr>
        <w:t>.</w:t>
      </w:r>
      <w:r w:rsidRPr="00ED1955">
        <w:rPr>
          <w:i/>
          <w:spacing w:val="-3"/>
          <w:lang w:val="en-US"/>
        </w:rPr>
        <w:t xml:space="preserve"> </w:t>
      </w:r>
      <w:r w:rsidRPr="00ED1955">
        <w:rPr>
          <w:lang w:val="en-US"/>
        </w:rPr>
        <w:t>252,</w:t>
      </w:r>
      <w:r w:rsidRPr="00ED1955">
        <w:rPr>
          <w:spacing w:val="-3"/>
          <w:lang w:val="en-US"/>
        </w:rPr>
        <w:t xml:space="preserve"> </w:t>
      </w:r>
      <w:r w:rsidRPr="00ED1955">
        <w:rPr>
          <w:lang w:val="en-US"/>
        </w:rPr>
        <w:t>5512-551</w:t>
      </w:r>
      <w:bookmarkStart w:id="0" w:name="_GoBack"/>
      <w:bookmarkEnd w:id="0"/>
      <w:r w:rsidRPr="00ED1955">
        <w:rPr>
          <w:lang w:val="en-US"/>
        </w:rPr>
        <w:t>5 (2006).</w:t>
      </w:r>
    </w:p>
    <w:sectPr w:rsidR="00442B59" w:rsidRPr="00ED1955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67E"/>
    <w:multiLevelType w:val="hybridMultilevel"/>
    <w:tmpl w:val="1AB4CC9A"/>
    <w:lvl w:ilvl="0" w:tplc="E27E9364">
      <w:start w:val="1"/>
      <w:numFmt w:val="decimal"/>
      <w:lvlText w:val="%1."/>
      <w:lvlJc w:val="left"/>
      <w:pPr>
        <w:ind w:left="1821" w:hanging="197"/>
        <w:jc w:val="right"/>
      </w:pPr>
      <w:rPr>
        <w:rFonts w:ascii="Times New Roman" w:eastAsia="Times New Roman" w:hAnsi="Times New Roman" w:cs="Times New Roman" w:hint="default"/>
        <w:i/>
        <w:spacing w:val="0"/>
        <w:w w:val="99"/>
        <w:sz w:val="16"/>
        <w:szCs w:val="16"/>
        <w:lang w:val="tr-TR" w:eastAsia="en-US" w:bidi="ar-SA"/>
      </w:rPr>
    </w:lvl>
    <w:lvl w:ilvl="1" w:tplc="F2C863E8">
      <w:numFmt w:val="bullet"/>
      <w:lvlText w:val="•"/>
      <w:lvlJc w:val="left"/>
      <w:pPr>
        <w:ind w:left="2568" w:hanging="197"/>
      </w:pPr>
      <w:rPr>
        <w:rFonts w:hint="default"/>
        <w:lang w:val="tr-TR" w:eastAsia="en-US" w:bidi="ar-SA"/>
      </w:rPr>
    </w:lvl>
    <w:lvl w:ilvl="2" w:tplc="14F8E480">
      <w:numFmt w:val="bullet"/>
      <w:lvlText w:val="•"/>
      <w:lvlJc w:val="left"/>
      <w:pPr>
        <w:ind w:left="3316" w:hanging="197"/>
      </w:pPr>
      <w:rPr>
        <w:rFonts w:hint="default"/>
        <w:lang w:val="tr-TR" w:eastAsia="en-US" w:bidi="ar-SA"/>
      </w:rPr>
    </w:lvl>
    <w:lvl w:ilvl="3" w:tplc="BF6E64A4">
      <w:numFmt w:val="bullet"/>
      <w:lvlText w:val="•"/>
      <w:lvlJc w:val="left"/>
      <w:pPr>
        <w:ind w:left="4065" w:hanging="197"/>
      </w:pPr>
      <w:rPr>
        <w:rFonts w:hint="default"/>
        <w:lang w:val="tr-TR" w:eastAsia="en-US" w:bidi="ar-SA"/>
      </w:rPr>
    </w:lvl>
    <w:lvl w:ilvl="4" w:tplc="5E90369A">
      <w:numFmt w:val="bullet"/>
      <w:lvlText w:val="•"/>
      <w:lvlJc w:val="left"/>
      <w:pPr>
        <w:ind w:left="4813" w:hanging="197"/>
      </w:pPr>
      <w:rPr>
        <w:rFonts w:hint="default"/>
        <w:lang w:val="tr-TR" w:eastAsia="en-US" w:bidi="ar-SA"/>
      </w:rPr>
    </w:lvl>
    <w:lvl w:ilvl="5" w:tplc="3620ED8C">
      <w:numFmt w:val="bullet"/>
      <w:lvlText w:val="•"/>
      <w:lvlJc w:val="left"/>
      <w:pPr>
        <w:ind w:left="5562" w:hanging="197"/>
      </w:pPr>
      <w:rPr>
        <w:rFonts w:hint="default"/>
        <w:lang w:val="tr-TR" w:eastAsia="en-US" w:bidi="ar-SA"/>
      </w:rPr>
    </w:lvl>
    <w:lvl w:ilvl="6" w:tplc="B498A096">
      <w:numFmt w:val="bullet"/>
      <w:lvlText w:val="•"/>
      <w:lvlJc w:val="left"/>
      <w:pPr>
        <w:ind w:left="6310" w:hanging="197"/>
      </w:pPr>
      <w:rPr>
        <w:rFonts w:hint="default"/>
        <w:lang w:val="tr-TR" w:eastAsia="en-US" w:bidi="ar-SA"/>
      </w:rPr>
    </w:lvl>
    <w:lvl w:ilvl="7" w:tplc="19D20504">
      <w:numFmt w:val="bullet"/>
      <w:lvlText w:val="•"/>
      <w:lvlJc w:val="left"/>
      <w:pPr>
        <w:ind w:left="7058" w:hanging="197"/>
      </w:pPr>
      <w:rPr>
        <w:rFonts w:hint="default"/>
        <w:lang w:val="tr-TR" w:eastAsia="en-US" w:bidi="ar-SA"/>
      </w:rPr>
    </w:lvl>
    <w:lvl w:ilvl="8" w:tplc="EDD6C1C8">
      <w:numFmt w:val="bullet"/>
      <w:lvlText w:val="•"/>
      <w:lvlJc w:val="left"/>
      <w:pPr>
        <w:ind w:left="7807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59"/>
    <w:rsid w:val="00332FE9"/>
    <w:rsid w:val="00416B30"/>
    <w:rsid w:val="00442B59"/>
    <w:rsid w:val="00610401"/>
    <w:rsid w:val="00667F81"/>
    <w:rsid w:val="00AC232D"/>
    <w:rsid w:val="00D96906"/>
    <w:rsid w:val="00E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103C"/>
  <w15:docId w15:val="{5B62A540-3453-46CA-95CB-AE3C1449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spacing w:before="109"/>
      <w:ind w:left="1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5"/>
      <w:ind w:left="193" w:right="18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1"/>
      <w:ind w:left="1821" w:hanging="1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TITRE :MODELE DE CONTRIBUTION A TELECHARGER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creator>ffornel</dc:creator>
  <cp:lastModifiedBy>Hakan Altan</cp:lastModifiedBy>
  <cp:revision>3</cp:revision>
  <dcterms:created xsi:type="dcterms:W3CDTF">2021-05-30T13:58:00Z</dcterms:created>
  <dcterms:modified xsi:type="dcterms:W3CDTF">2021-05-30T14:04:00Z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2021-04-19T00:00:00Z</vt:filetime>
  </property>
</Properties>
</file>