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076A5" w14:textId="77777777" w:rsidR="0051619C" w:rsidRPr="00905BB7" w:rsidRDefault="0051619C" w:rsidP="0051619C">
      <w:pPr>
        <w:autoSpaceDE w:val="0"/>
        <w:autoSpaceDN w:val="0"/>
        <w:adjustRightInd w:val="0"/>
        <w:ind w:right="-18"/>
        <w:jc w:val="center"/>
        <w:rPr>
          <w:rFonts w:ascii="Garamond" w:hAnsi="Garamond"/>
          <w:sz w:val="28"/>
          <w:szCs w:val="28"/>
        </w:rPr>
      </w:pPr>
      <w:r w:rsidRPr="00887978">
        <w:rPr>
          <w:rFonts w:ascii="Garamond" w:hAnsi="Garamond"/>
          <w:b/>
          <w:sz w:val="28"/>
          <w:szCs w:val="28"/>
        </w:rPr>
        <w:t>Evolution of laser pulse propagation in Four Wave Mixing atomic medium</w:t>
      </w:r>
    </w:p>
    <w:p w14:paraId="72348482" w14:textId="77777777" w:rsidR="0051619C" w:rsidRPr="00905BB7" w:rsidRDefault="0051619C" w:rsidP="0051619C">
      <w:pPr>
        <w:autoSpaceDE w:val="0"/>
        <w:autoSpaceDN w:val="0"/>
        <w:adjustRightInd w:val="0"/>
        <w:jc w:val="center"/>
        <w:rPr>
          <w:rFonts w:ascii="Garamond" w:hAnsi="Garamond"/>
          <w:sz w:val="22"/>
          <w:szCs w:val="22"/>
        </w:rPr>
      </w:pPr>
    </w:p>
    <w:p w14:paraId="63CC76FF" w14:textId="1BC0AFD3" w:rsidR="0051619C" w:rsidRPr="00D029A3" w:rsidRDefault="0051619C" w:rsidP="0051619C">
      <w:pPr>
        <w:autoSpaceDE w:val="0"/>
        <w:autoSpaceDN w:val="0"/>
        <w:adjustRightInd w:val="0"/>
        <w:jc w:val="center"/>
        <w:rPr>
          <w:rFonts w:ascii="Garamond" w:hAnsi="Garamond"/>
          <w:sz w:val="22"/>
          <w:szCs w:val="22"/>
        </w:rPr>
      </w:pPr>
      <w:r w:rsidRPr="00D029A3">
        <w:rPr>
          <w:rFonts w:ascii="Garamond" w:hAnsi="Garamond"/>
          <w:sz w:val="22"/>
          <w:szCs w:val="22"/>
        </w:rPr>
        <w:t>D. Arsenović</w:t>
      </w:r>
      <w:r w:rsidR="00D029A3">
        <w:rPr>
          <w:rFonts w:ascii="Garamond" w:hAnsi="Garamond"/>
          <w:sz w:val="20"/>
          <w:szCs w:val="14"/>
          <w:vertAlign w:val="superscript"/>
        </w:rPr>
        <w:t>1</w:t>
      </w:r>
      <w:r w:rsidRPr="00D029A3">
        <w:rPr>
          <w:rFonts w:ascii="Garamond" w:hAnsi="Garamond"/>
          <w:sz w:val="22"/>
          <w:szCs w:val="22"/>
        </w:rPr>
        <w:t>, Ž. Nikitović</w:t>
      </w:r>
      <w:r w:rsidR="00D029A3">
        <w:rPr>
          <w:rFonts w:ascii="Garamond" w:hAnsi="Garamond"/>
          <w:sz w:val="20"/>
          <w:szCs w:val="14"/>
          <w:vertAlign w:val="superscript"/>
        </w:rPr>
        <w:t>1</w:t>
      </w:r>
      <w:r w:rsidRPr="00D029A3">
        <w:rPr>
          <w:rFonts w:ascii="Garamond" w:hAnsi="Garamond"/>
          <w:sz w:val="22"/>
          <w:szCs w:val="22"/>
        </w:rPr>
        <w:t>, B. Zlatković</w:t>
      </w:r>
      <w:r w:rsidR="00D029A3">
        <w:rPr>
          <w:rFonts w:ascii="Garamond" w:hAnsi="Garamond"/>
          <w:sz w:val="20"/>
          <w:szCs w:val="14"/>
          <w:vertAlign w:val="superscript"/>
        </w:rPr>
        <w:t>1</w:t>
      </w:r>
      <w:r w:rsidRPr="00D029A3">
        <w:rPr>
          <w:rFonts w:ascii="Garamond" w:hAnsi="Garamond"/>
          <w:sz w:val="22"/>
          <w:szCs w:val="22"/>
        </w:rPr>
        <w:t xml:space="preserve">, </w:t>
      </w:r>
      <w:r w:rsidRPr="00D029A3">
        <w:rPr>
          <w:rFonts w:ascii="Garamond" w:hAnsi="Garamond"/>
          <w:sz w:val="22"/>
          <w:szCs w:val="22"/>
          <w:u w:val="single"/>
        </w:rPr>
        <w:t>I. Radojičić</w:t>
      </w:r>
      <w:r w:rsidR="00D029A3">
        <w:rPr>
          <w:rFonts w:ascii="Garamond" w:hAnsi="Garamond"/>
          <w:sz w:val="20"/>
          <w:szCs w:val="14"/>
          <w:vertAlign w:val="superscript"/>
        </w:rPr>
        <w:t>1</w:t>
      </w:r>
      <w:r w:rsidRPr="00D029A3">
        <w:rPr>
          <w:rFonts w:ascii="Garamond" w:hAnsi="Garamond"/>
          <w:sz w:val="22"/>
          <w:szCs w:val="22"/>
        </w:rPr>
        <w:t>, M. Ćurčić</w:t>
      </w:r>
      <w:r w:rsidR="00D029A3">
        <w:rPr>
          <w:rFonts w:ascii="Garamond" w:hAnsi="Garamond"/>
          <w:sz w:val="20"/>
          <w:szCs w:val="14"/>
          <w:vertAlign w:val="superscript"/>
        </w:rPr>
        <w:t>1</w:t>
      </w:r>
      <w:r w:rsidRPr="00D029A3">
        <w:rPr>
          <w:rFonts w:ascii="Garamond" w:hAnsi="Garamond"/>
          <w:sz w:val="22"/>
          <w:szCs w:val="22"/>
        </w:rPr>
        <w:t>, A</w:t>
      </w:r>
      <w:r w:rsidR="00E23A9C">
        <w:rPr>
          <w:rFonts w:ascii="Garamond" w:hAnsi="Garamond"/>
          <w:sz w:val="22"/>
          <w:szCs w:val="22"/>
        </w:rPr>
        <w:t xml:space="preserve">.J. </w:t>
      </w:r>
      <w:r w:rsidRPr="00D029A3">
        <w:rPr>
          <w:rFonts w:ascii="Garamond" w:hAnsi="Garamond"/>
          <w:sz w:val="22"/>
          <w:szCs w:val="22"/>
        </w:rPr>
        <w:t>Krmpot</w:t>
      </w:r>
      <w:r w:rsidR="00D029A3">
        <w:rPr>
          <w:rFonts w:ascii="Garamond" w:hAnsi="Garamond"/>
          <w:sz w:val="20"/>
          <w:szCs w:val="14"/>
          <w:vertAlign w:val="superscript"/>
        </w:rPr>
        <w:t>1</w:t>
      </w:r>
      <w:r w:rsidRPr="00D029A3">
        <w:rPr>
          <w:rFonts w:ascii="Garamond" w:hAnsi="Garamond"/>
          <w:sz w:val="22"/>
          <w:szCs w:val="22"/>
        </w:rPr>
        <w:t xml:space="preserve"> and B. Jelenković</w:t>
      </w:r>
      <w:r w:rsidR="00D029A3">
        <w:rPr>
          <w:rFonts w:ascii="Garamond" w:hAnsi="Garamond"/>
          <w:sz w:val="20"/>
          <w:szCs w:val="14"/>
          <w:vertAlign w:val="superscript"/>
        </w:rPr>
        <w:t>1</w:t>
      </w:r>
    </w:p>
    <w:p w14:paraId="35FDF392" w14:textId="77777777" w:rsidR="0051619C" w:rsidRPr="00887978" w:rsidRDefault="00D029A3" w:rsidP="0051619C">
      <w:pPr>
        <w:autoSpaceDE w:val="0"/>
        <w:autoSpaceDN w:val="0"/>
        <w:adjustRightInd w:val="0"/>
        <w:jc w:val="center"/>
        <w:rPr>
          <w:rFonts w:ascii="Garamond" w:hAnsi="Garamond"/>
          <w:i/>
          <w:iCs/>
          <w:sz w:val="20"/>
          <w:szCs w:val="20"/>
        </w:rPr>
      </w:pPr>
      <w:r>
        <w:rPr>
          <w:rFonts w:ascii="Garamond" w:hAnsi="Garamond"/>
          <w:sz w:val="20"/>
          <w:szCs w:val="14"/>
          <w:vertAlign w:val="superscript"/>
        </w:rPr>
        <w:t>1</w:t>
      </w:r>
      <w:r w:rsidR="0051619C" w:rsidRPr="00887978">
        <w:rPr>
          <w:rFonts w:ascii="Garamond" w:hAnsi="Garamond"/>
          <w:i/>
          <w:sz w:val="20"/>
          <w:szCs w:val="20"/>
        </w:rPr>
        <w:t>Institute of physics, Belgrade, Pregrevica 118, 11080 Be</w:t>
      </w:r>
      <w:r w:rsidR="0051619C">
        <w:rPr>
          <w:rFonts w:ascii="Garamond" w:hAnsi="Garamond"/>
          <w:i/>
          <w:sz w:val="20"/>
          <w:szCs w:val="20"/>
        </w:rPr>
        <w:t>l</w:t>
      </w:r>
      <w:r w:rsidR="0051619C" w:rsidRPr="00887978">
        <w:rPr>
          <w:rFonts w:ascii="Garamond" w:hAnsi="Garamond"/>
          <w:i/>
          <w:sz w:val="20"/>
          <w:szCs w:val="20"/>
        </w:rPr>
        <w:t>grade, Serbia</w:t>
      </w:r>
    </w:p>
    <w:p w14:paraId="6A760732" w14:textId="77777777" w:rsidR="0051619C" w:rsidRPr="00905BB7" w:rsidRDefault="0051619C" w:rsidP="0051619C">
      <w:pPr>
        <w:autoSpaceDE w:val="0"/>
        <w:autoSpaceDN w:val="0"/>
        <w:adjustRightInd w:val="0"/>
        <w:jc w:val="center"/>
        <w:rPr>
          <w:rFonts w:ascii="Garamond" w:hAnsi="Garamond"/>
          <w:sz w:val="20"/>
          <w:szCs w:val="20"/>
        </w:rPr>
      </w:pPr>
      <w:r w:rsidRPr="00905BB7">
        <w:rPr>
          <w:rFonts w:ascii="Garamond" w:hAnsi="Garamond"/>
          <w:sz w:val="20"/>
          <w:szCs w:val="20"/>
        </w:rPr>
        <w:t>e-mail:</w:t>
      </w:r>
      <w:r w:rsidR="00D1052B">
        <w:rPr>
          <w:rFonts w:ascii="Garamond" w:hAnsi="Garamond"/>
          <w:sz w:val="20"/>
          <w:szCs w:val="20"/>
        </w:rPr>
        <w:t xml:space="preserve"> </w:t>
      </w:r>
      <w:r w:rsidR="00D029A3">
        <w:rPr>
          <w:rFonts w:ascii="Garamond" w:hAnsi="Garamond"/>
          <w:sz w:val="20"/>
          <w:szCs w:val="20"/>
        </w:rPr>
        <w:t>ivan.radojicic</w:t>
      </w:r>
      <w:r w:rsidRPr="00905BB7">
        <w:rPr>
          <w:rFonts w:ascii="Garamond" w:hAnsi="Garamond"/>
          <w:sz w:val="20"/>
          <w:szCs w:val="20"/>
        </w:rPr>
        <w:t>@</w:t>
      </w:r>
      <w:r w:rsidR="00D029A3">
        <w:rPr>
          <w:rFonts w:ascii="Garamond" w:hAnsi="Garamond"/>
          <w:sz w:val="20"/>
          <w:szCs w:val="20"/>
        </w:rPr>
        <w:t xml:space="preserve">ipb.ac.rs </w:t>
      </w:r>
    </w:p>
    <w:p w14:paraId="4CFEFD3A" w14:textId="77777777" w:rsidR="0051619C" w:rsidRPr="00905BB7" w:rsidRDefault="0051619C" w:rsidP="0051619C">
      <w:pPr>
        <w:autoSpaceDE w:val="0"/>
        <w:autoSpaceDN w:val="0"/>
        <w:adjustRightInd w:val="0"/>
        <w:ind w:firstLine="284"/>
        <w:jc w:val="both"/>
        <w:rPr>
          <w:rFonts w:ascii="Garamond" w:hAnsi="Garamond"/>
          <w:sz w:val="20"/>
          <w:szCs w:val="20"/>
        </w:rPr>
      </w:pPr>
    </w:p>
    <w:p w14:paraId="6D4581C5" w14:textId="77777777" w:rsidR="0051619C" w:rsidRPr="00905BB7" w:rsidRDefault="0051619C" w:rsidP="0051619C">
      <w:pPr>
        <w:autoSpaceDE w:val="0"/>
        <w:autoSpaceDN w:val="0"/>
        <w:adjustRightInd w:val="0"/>
        <w:jc w:val="both"/>
        <w:rPr>
          <w:rFonts w:ascii="Garamond" w:hAnsi="Garamond"/>
          <w:sz w:val="22"/>
          <w:szCs w:val="22"/>
        </w:rPr>
      </w:pPr>
    </w:p>
    <w:p w14:paraId="1E904B65" w14:textId="77777777" w:rsidR="0051619C" w:rsidRDefault="0051619C" w:rsidP="0051619C">
      <w:pPr>
        <w:jc w:val="both"/>
        <w:rPr>
          <w:rFonts w:ascii="Garamond" w:hAnsi="Garamond"/>
          <w:sz w:val="22"/>
          <w:szCs w:val="22"/>
        </w:rPr>
      </w:pPr>
      <w:r w:rsidRPr="00887978">
        <w:rPr>
          <w:rFonts w:ascii="Garamond" w:hAnsi="Garamond"/>
          <w:sz w:val="22"/>
          <w:szCs w:val="22"/>
        </w:rPr>
        <w:t>Electromagnetically induced transparency (EIT) and EIT based Four Wave Mixing (FWM), the two effects of quantum coherence and nonlinearity induced in atomic systems, are important because of related phenomena, like slow and storage of light pulses.  From the practical point it is important to ensure parameters of EIT and FWM so that pulses propagate through medium without (any) distortion.</w:t>
      </w:r>
    </w:p>
    <w:p w14:paraId="20A919AA" w14:textId="77777777" w:rsidR="0051619C" w:rsidRPr="00887978" w:rsidRDefault="0051619C" w:rsidP="0051619C">
      <w:pPr>
        <w:jc w:val="both"/>
        <w:rPr>
          <w:rFonts w:ascii="Garamond" w:hAnsi="Garamond"/>
          <w:sz w:val="22"/>
          <w:szCs w:val="22"/>
        </w:rPr>
      </w:pPr>
      <w:r w:rsidRPr="00887978">
        <w:rPr>
          <w:rFonts w:ascii="Garamond" w:hAnsi="Garamond"/>
          <w:sz w:val="22"/>
          <w:szCs w:val="22"/>
        </w:rPr>
        <w:t xml:space="preserve">  </w:t>
      </w:r>
    </w:p>
    <w:p w14:paraId="124A5C89" w14:textId="2AF3933D" w:rsidR="0051619C" w:rsidRDefault="0051619C" w:rsidP="0051619C">
      <w:pPr>
        <w:jc w:val="both"/>
        <w:rPr>
          <w:rFonts w:ascii="Garamond" w:hAnsi="Garamond"/>
          <w:sz w:val="22"/>
          <w:szCs w:val="22"/>
        </w:rPr>
      </w:pPr>
      <w:r w:rsidRPr="00887978">
        <w:rPr>
          <w:rFonts w:ascii="Garamond" w:hAnsi="Garamond"/>
          <w:sz w:val="22"/>
          <w:szCs w:val="22"/>
        </w:rPr>
        <w:t xml:space="preserve">In this work we investigate propagation of probe and conjugate pulses through potassium vapor, which is made FWM medium by a double </w:t>
      </w:r>
      <w:r w:rsidRPr="00887978">
        <w:rPr>
          <w:rFonts w:ascii="Garamond" w:hAnsi="Garamond" w:cstheme="minorHAnsi"/>
          <w:sz w:val="22"/>
          <w:szCs w:val="22"/>
        </w:rPr>
        <w:t xml:space="preserve">Λ atomic scheme. We are interested in finding conditions when initial Gaussian probe pulse begins to brake, bringing multiple pulses at the exit of the K cell. In our previous </w:t>
      </w:r>
      <w:r w:rsidRPr="00887978">
        <w:rPr>
          <w:rFonts w:ascii="Garamond" w:hAnsi="Garamond"/>
          <w:sz w:val="22"/>
          <w:szCs w:val="22"/>
        </w:rPr>
        <w:t>works with FWM in potassium</w:t>
      </w:r>
      <w:r w:rsidR="00887F38" w:rsidRPr="00887F38">
        <w:rPr>
          <w:rFonts w:ascii="Garamond" w:hAnsi="Garamond"/>
          <w:sz w:val="22"/>
          <w:szCs w:val="22"/>
        </w:rPr>
        <w:t xml:space="preserve"> </w:t>
      </w:r>
      <w:r w:rsidRPr="00887978">
        <w:rPr>
          <w:rFonts w:ascii="Garamond" w:hAnsi="Garamond"/>
          <w:sz w:val="22"/>
          <w:szCs w:val="22"/>
        </w:rPr>
        <w:t>we studded slow light and therefore worked with conditions that ensure preservations of Gaussian pulse at the exit of the K cell [</w:t>
      </w:r>
      <w:r w:rsidR="00887F38">
        <w:rPr>
          <w:rFonts w:ascii="Garamond" w:hAnsi="Garamond"/>
          <w:sz w:val="22"/>
          <w:szCs w:val="22"/>
        </w:rPr>
        <w:t>1</w:t>
      </w:r>
      <w:r w:rsidRPr="00887978">
        <w:rPr>
          <w:rFonts w:ascii="Garamond" w:hAnsi="Garamond"/>
          <w:sz w:val="22"/>
          <w:szCs w:val="22"/>
        </w:rPr>
        <w:t>].</w:t>
      </w:r>
    </w:p>
    <w:p w14:paraId="49CCBC13" w14:textId="77777777" w:rsidR="0051619C" w:rsidRPr="00887978" w:rsidRDefault="0051619C" w:rsidP="0051619C">
      <w:pPr>
        <w:jc w:val="both"/>
        <w:rPr>
          <w:rFonts w:ascii="Garamond" w:hAnsi="Garamond"/>
          <w:sz w:val="22"/>
          <w:szCs w:val="22"/>
        </w:rPr>
      </w:pPr>
    </w:p>
    <w:p w14:paraId="4E58099B" w14:textId="77777777" w:rsidR="0051619C" w:rsidRDefault="0051619C" w:rsidP="0051619C">
      <w:pPr>
        <w:jc w:val="both"/>
        <w:rPr>
          <w:rFonts w:ascii="Garamond" w:hAnsi="Garamond"/>
          <w:sz w:val="22"/>
          <w:szCs w:val="22"/>
        </w:rPr>
      </w:pPr>
      <w:r w:rsidRPr="00887978">
        <w:rPr>
          <w:rFonts w:ascii="Garamond" w:hAnsi="Garamond"/>
          <w:sz w:val="22"/>
          <w:szCs w:val="22"/>
        </w:rPr>
        <w:t xml:space="preserve">We are interested in pulse propagation dynamics that leads to pulse splitting in hot alkali vapor. Understanding mechanism which govern the final shape of the pulse will help to tailor FWM parameters optimal for slowing and storing Gaussian pulses, with minimum distortion and broadening.   Theoretically and experimentally we investigate propagations of 80 ns Gaussian probe pulse through double </w:t>
      </w:r>
      <w:r w:rsidRPr="00887978">
        <w:rPr>
          <w:rFonts w:ascii="Garamond" w:hAnsi="Garamond"/>
          <w:sz w:val="22"/>
          <w:szCs w:val="22"/>
        </w:rPr>
        <w:sym w:font="Symbol" w:char="F04C"/>
      </w:r>
      <w:r w:rsidRPr="00887978">
        <w:rPr>
          <w:rFonts w:ascii="Garamond" w:hAnsi="Garamond"/>
          <w:sz w:val="22"/>
          <w:szCs w:val="22"/>
        </w:rPr>
        <w:t xml:space="preserve"> type atomic media, when the second leg of the lower </w:t>
      </w:r>
      <w:r w:rsidRPr="00887978">
        <w:rPr>
          <w:rFonts w:ascii="Garamond" w:hAnsi="Garamond"/>
          <w:sz w:val="22"/>
          <w:szCs w:val="22"/>
        </w:rPr>
        <w:sym w:font="Symbol" w:char="F04C"/>
      </w:r>
      <w:r w:rsidRPr="00887978">
        <w:rPr>
          <w:rFonts w:ascii="Garamond" w:hAnsi="Garamond"/>
          <w:sz w:val="22"/>
          <w:szCs w:val="22"/>
        </w:rPr>
        <w:t xml:space="preserve"> scheme is the strong cw pump laser. </w:t>
      </w:r>
    </w:p>
    <w:p w14:paraId="22755DF2" w14:textId="77777777" w:rsidR="0051619C" w:rsidRPr="00887978" w:rsidRDefault="0051619C" w:rsidP="0051619C">
      <w:pPr>
        <w:jc w:val="both"/>
        <w:rPr>
          <w:rFonts w:ascii="Garamond" w:hAnsi="Garamond"/>
          <w:sz w:val="22"/>
          <w:szCs w:val="22"/>
        </w:rPr>
      </w:pPr>
    </w:p>
    <w:p w14:paraId="0BA1D034" w14:textId="77777777" w:rsidR="0051619C" w:rsidRDefault="0051619C" w:rsidP="0051619C">
      <w:pPr>
        <w:jc w:val="both"/>
        <w:rPr>
          <w:rFonts w:ascii="Garamond" w:hAnsi="Garamond"/>
          <w:sz w:val="22"/>
          <w:szCs w:val="22"/>
        </w:rPr>
      </w:pPr>
      <w:r w:rsidRPr="00887978">
        <w:rPr>
          <w:rFonts w:ascii="Garamond" w:hAnsi="Garamond"/>
          <w:sz w:val="22"/>
          <w:szCs w:val="22"/>
        </w:rPr>
        <w:t xml:space="preserve">We developed detailed numerical model to describe the FWM in hot </w:t>
      </w:r>
      <w:r w:rsidR="00D029A3" w:rsidRPr="00887978">
        <w:rPr>
          <w:rFonts w:ascii="Garamond" w:hAnsi="Garamond"/>
          <w:sz w:val="22"/>
          <w:szCs w:val="22"/>
        </w:rPr>
        <w:t>potassium</w:t>
      </w:r>
      <w:r w:rsidRPr="00887978">
        <w:rPr>
          <w:rFonts w:ascii="Garamond" w:hAnsi="Garamond"/>
          <w:sz w:val="22"/>
          <w:szCs w:val="22"/>
        </w:rPr>
        <w:t xml:space="preserve"> vapor, using Maxwell-Bloch equations (MBE).  Potassium atoms in vapor cell have large Doppler line broadening, of the order of 800 </w:t>
      </w:r>
      <w:r w:rsidR="00D029A3" w:rsidRPr="00887978">
        <w:rPr>
          <w:rFonts w:ascii="Garamond" w:hAnsi="Garamond"/>
          <w:sz w:val="22"/>
          <w:szCs w:val="22"/>
        </w:rPr>
        <w:t>MHz</w:t>
      </w:r>
      <w:r w:rsidR="00D029A3">
        <w:rPr>
          <w:rFonts w:ascii="Garamond" w:hAnsi="Garamond"/>
          <w:sz w:val="22"/>
          <w:szCs w:val="22"/>
        </w:rPr>
        <w:t>.</w:t>
      </w:r>
      <w:r w:rsidRPr="00887978">
        <w:rPr>
          <w:rFonts w:ascii="Garamond" w:hAnsi="Garamond"/>
          <w:sz w:val="22"/>
          <w:szCs w:val="22"/>
        </w:rPr>
        <w:t xml:space="preserve"> The model carefully takes into account pump photon detuning from the D1 line due to Doppler effect, in addition to the detuning set for the pump laser (valid for zero velocity atoms).  We select a number of velocity groups of atoms and form separate density matrices for each group and a corresponding set of Bloch equations. At initial time and position (entrance to the cell) for starting point of propagation, for a given pump and probe detuning, we first solve the MBE with all derivatives over time set to zero. Thus obtained spatial dependence of atomic polarizations are initial condition for the probe pulse at the cell entrance. Comparison with experiment has shown that small steps between two velocity groups are necessary, of the order of 10 </w:t>
      </w:r>
      <w:r w:rsidR="00D029A3" w:rsidRPr="00887978">
        <w:rPr>
          <w:rFonts w:ascii="Garamond" w:hAnsi="Garamond"/>
          <w:sz w:val="22"/>
          <w:szCs w:val="22"/>
        </w:rPr>
        <w:t>MHz</w:t>
      </w:r>
      <w:r w:rsidR="00D029A3">
        <w:rPr>
          <w:rFonts w:ascii="Garamond" w:hAnsi="Garamond"/>
          <w:sz w:val="22"/>
          <w:szCs w:val="22"/>
        </w:rPr>
        <w:t>.</w:t>
      </w:r>
      <w:r w:rsidRPr="00887978">
        <w:rPr>
          <w:rFonts w:ascii="Garamond" w:hAnsi="Garamond"/>
          <w:sz w:val="22"/>
          <w:szCs w:val="22"/>
        </w:rPr>
        <w:t xml:space="preserve"> The total number of atom velocity groups, and the type of uneven distribution of groups along the Doppler profile, is the compromise between proximity of results to results of the experiment, and reasonable computer time. </w:t>
      </w:r>
    </w:p>
    <w:p w14:paraId="59BD12B6" w14:textId="77777777" w:rsidR="0051619C" w:rsidRPr="00887978" w:rsidRDefault="0051619C" w:rsidP="0051619C">
      <w:pPr>
        <w:jc w:val="both"/>
        <w:rPr>
          <w:rFonts w:ascii="Garamond" w:hAnsi="Garamond"/>
          <w:sz w:val="22"/>
          <w:szCs w:val="22"/>
        </w:rPr>
      </w:pPr>
    </w:p>
    <w:p w14:paraId="4583B652" w14:textId="7846B275" w:rsidR="0051619C" w:rsidRPr="00887978" w:rsidRDefault="0051619C" w:rsidP="0051619C">
      <w:pPr>
        <w:autoSpaceDE w:val="0"/>
        <w:autoSpaceDN w:val="0"/>
        <w:adjustRightInd w:val="0"/>
        <w:jc w:val="both"/>
        <w:rPr>
          <w:rFonts w:ascii="Garamond" w:hAnsi="Garamond"/>
          <w:sz w:val="20"/>
          <w:szCs w:val="20"/>
        </w:rPr>
      </w:pPr>
      <w:r w:rsidRPr="00887978">
        <w:rPr>
          <w:rFonts w:ascii="Garamond" w:hAnsi="Garamond"/>
          <w:sz w:val="22"/>
          <w:szCs w:val="22"/>
        </w:rPr>
        <w:t>We will p</w:t>
      </w:r>
      <w:r w:rsidR="00D527E6">
        <w:rPr>
          <w:rFonts w:ascii="Garamond" w:hAnsi="Garamond"/>
          <w:sz w:val="22"/>
          <w:szCs w:val="22"/>
        </w:rPr>
        <w:t>resent results of the model and</w:t>
      </w:r>
      <w:r w:rsidRPr="00887978">
        <w:rPr>
          <w:rFonts w:ascii="Garamond" w:hAnsi="Garamond"/>
          <w:sz w:val="22"/>
          <w:szCs w:val="22"/>
        </w:rPr>
        <w:t xml:space="preserve"> of the experiment for ranges of one photon pump laser detuning, two pump-probe laser beams detuning, potassium density, when slowed probe and conjugate pulses start to deform from Gaussian, and begin</w:t>
      </w:r>
      <w:r w:rsidR="00B33F39">
        <w:rPr>
          <w:rFonts w:ascii="Garamond" w:hAnsi="Garamond"/>
          <w:sz w:val="22"/>
          <w:szCs w:val="22"/>
        </w:rPr>
        <w:t xml:space="preserve"> to </w:t>
      </w:r>
      <w:r w:rsidRPr="00887978">
        <w:rPr>
          <w:rFonts w:ascii="Garamond" w:hAnsi="Garamond"/>
          <w:sz w:val="22"/>
          <w:szCs w:val="22"/>
        </w:rPr>
        <w:t>split</w:t>
      </w:r>
      <w:r w:rsidRPr="00887978">
        <w:rPr>
          <w:rFonts w:ascii="Garamond" w:hAnsi="Garamond"/>
          <w:sz w:val="20"/>
          <w:szCs w:val="20"/>
        </w:rPr>
        <w:t>.</w:t>
      </w:r>
    </w:p>
    <w:p w14:paraId="68F63856" w14:textId="77777777" w:rsidR="00D1052B" w:rsidRDefault="00D1052B" w:rsidP="00D1052B">
      <w:pPr>
        <w:autoSpaceDE w:val="0"/>
        <w:autoSpaceDN w:val="0"/>
        <w:adjustRightInd w:val="0"/>
        <w:jc w:val="both"/>
        <w:rPr>
          <w:rFonts w:ascii="Garamond" w:hAnsi="Garamond"/>
          <w:sz w:val="22"/>
          <w:szCs w:val="22"/>
        </w:rPr>
      </w:pPr>
    </w:p>
    <w:p w14:paraId="48DC1F32" w14:textId="77777777" w:rsidR="00D1052B" w:rsidRDefault="00D1052B" w:rsidP="00D1052B">
      <w:pPr>
        <w:autoSpaceDE w:val="0"/>
        <w:autoSpaceDN w:val="0"/>
        <w:adjustRightInd w:val="0"/>
        <w:jc w:val="both"/>
        <w:rPr>
          <w:rFonts w:ascii="Garamond" w:hAnsi="Garamond"/>
          <w:sz w:val="22"/>
          <w:szCs w:val="22"/>
        </w:rPr>
      </w:pPr>
      <w:r>
        <w:rPr>
          <w:rFonts w:ascii="Garamond" w:hAnsi="Garamond"/>
          <w:sz w:val="22"/>
          <w:szCs w:val="22"/>
        </w:rPr>
        <w:t>REFERENCES</w:t>
      </w:r>
    </w:p>
    <w:p w14:paraId="3FA5A6D8" w14:textId="77777777" w:rsidR="00D1052B" w:rsidRDefault="00D1052B" w:rsidP="00D1052B">
      <w:pPr>
        <w:autoSpaceDE w:val="0"/>
        <w:autoSpaceDN w:val="0"/>
        <w:adjustRightInd w:val="0"/>
        <w:jc w:val="both"/>
        <w:rPr>
          <w:rFonts w:ascii="Garamond" w:hAnsi="Garamond"/>
          <w:sz w:val="22"/>
          <w:szCs w:val="22"/>
        </w:rPr>
      </w:pPr>
      <w:r>
        <w:rPr>
          <w:rFonts w:ascii="Garamond" w:hAnsi="Garamond"/>
          <w:sz w:val="22"/>
          <w:szCs w:val="22"/>
        </w:rPr>
        <w:t xml:space="preserve">[1] </w:t>
      </w:r>
      <w:r w:rsidR="008D4B98" w:rsidRPr="008D4B98">
        <w:rPr>
          <w:rFonts w:ascii="Garamond" w:hAnsi="Garamond" w:cs="Helvetica"/>
          <w:color w:val="222222"/>
          <w:sz w:val="22"/>
          <w:szCs w:val="22"/>
          <w:shd w:val="clear" w:color="auto" w:fill="FFFFFF"/>
        </w:rPr>
        <w:t>B. Zlatković, M. M. Ćurčić, I. S. Radojičić, D. Arsenović, A. J. Krmpot, and B. M. Jelenković</w:t>
      </w:r>
      <w:r w:rsidRPr="008D4B98">
        <w:rPr>
          <w:rFonts w:ascii="Garamond" w:hAnsi="Garamond"/>
          <w:sz w:val="22"/>
          <w:szCs w:val="22"/>
        </w:rPr>
        <w:t xml:space="preserve">, </w:t>
      </w:r>
      <w:r w:rsidR="008D4B98" w:rsidRPr="008D4B98">
        <w:rPr>
          <w:rFonts w:ascii="Garamond" w:hAnsi="Garamond"/>
          <w:sz w:val="22"/>
          <w:szCs w:val="22"/>
        </w:rPr>
        <w:t>Optics Express Vol. 26, Issue 26</w:t>
      </w:r>
      <w:r w:rsidR="008D4B98">
        <w:rPr>
          <w:rFonts w:ascii="Garamond" w:hAnsi="Garamond"/>
          <w:sz w:val="22"/>
          <w:szCs w:val="22"/>
        </w:rPr>
        <w:t xml:space="preserve"> </w:t>
      </w:r>
      <w:r w:rsidR="008D4B98" w:rsidRPr="008D4B98">
        <w:rPr>
          <w:rFonts w:ascii="Garamond" w:hAnsi="Garamond"/>
          <w:sz w:val="22"/>
          <w:szCs w:val="22"/>
        </w:rPr>
        <w:t>(2018)</w:t>
      </w:r>
      <w:r w:rsidR="008D4B98">
        <w:rPr>
          <w:rFonts w:ascii="Garamond" w:hAnsi="Garamond"/>
          <w:sz w:val="22"/>
          <w:szCs w:val="22"/>
        </w:rPr>
        <w:t>.</w:t>
      </w:r>
    </w:p>
    <w:p w14:paraId="4C7F5862" w14:textId="19E9CFC1" w:rsidR="00CC429D" w:rsidRPr="00F931A8" w:rsidRDefault="00CC429D" w:rsidP="002344D6">
      <w:pPr>
        <w:jc w:val="both"/>
      </w:pPr>
      <w:bookmarkStart w:id="0" w:name="_GoBack"/>
      <w:bookmarkEnd w:id="0"/>
    </w:p>
    <w:sectPr w:rsidR="00CC429D" w:rsidRPr="00F931A8" w:rsidSect="007E459E">
      <w:pgSz w:w="10319" w:h="14571" w:code="13"/>
      <w:pgMar w:top="1152" w:right="864" w:bottom="864" w:left="1152" w:header="720" w:footer="720" w:gutter="0"/>
      <w:cols w:space="720"/>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6E8AA8" w16cid:durableId="20A5EF97"/>
  <w16cid:commentId w16cid:paraId="3BA8EC1C" w16cid:durableId="20A5EF9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13271"/>
    <w:multiLevelType w:val="hybridMultilevel"/>
    <w:tmpl w:val="F9E0A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9D"/>
    <w:rsid w:val="00037E31"/>
    <w:rsid w:val="000969B2"/>
    <w:rsid w:val="000A3267"/>
    <w:rsid w:val="000E24E1"/>
    <w:rsid w:val="0010060E"/>
    <w:rsid w:val="0016793B"/>
    <w:rsid w:val="0019259C"/>
    <w:rsid w:val="001E5803"/>
    <w:rsid w:val="001F0768"/>
    <w:rsid w:val="002344D6"/>
    <w:rsid w:val="002A22FB"/>
    <w:rsid w:val="002D3E49"/>
    <w:rsid w:val="002E1AB5"/>
    <w:rsid w:val="00331807"/>
    <w:rsid w:val="00336A61"/>
    <w:rsid w:val="003949BB"/>
    <w:rsid w:val="003B0B4A"/>
    <w:rsid w:val="003E0534"/>
    <w:rsid w:val="003E78D2"/>
    <w:rsid w:val="003F7D96"/>
    <w:rsid w:val="00492D3C"/>
    <w:rsid w:val="004E3764"/>
    <w:rsid w:val="0051619C"/>
    <w:rsid w:val="005243C5"/>
    <w:rsid w:val="005C083B"/>
    <w:rsid w:val="005E0E65"/>
    <w:rsid w:val="005F72DD"/>
    <w:rsid w:val="00614221"/>
    <w:rsid w:val="00630D14"/>
    <w:rsid w:val="00634539"/>
    <w:rsid w:val="006A6C19"/>
    <w:rsid w:val="006C1B0C"/>
    <w:rsid w:val="006F1839"/>
    <w:rsid w:val="00722709"/>
    <w:rsid w:val="00726A8D"/>
    <w:rsid w:val="00731D38"/>
    <w:rsid w:val="007714E1"/>
    <w:rsid w:val="00787C90"/>
    <w:rsid w:val="007E459E"/>
    <w:rsid w:val="007F37E6"/>
    <w:rsid w:val="00824AF6"/>
    <w:rsid w:val="0087083B"/>
    <w:rsid w:val="00887F38"/>
    <w:rsid w:val="008A14C7"/>
    <w:rsid w:val="008D4B98"/>
    <w:rsid w:val="00905BB7"/>
    <w:rsid w:val="00932787"/>
    <w:rsid w:val="00933B5B"/>
    <w:rsid w:val="00937560"/>
    <w:rsid w:val="00975CA3"/>
    <w:rsid w:val="0098310E"/>
    <w:rsid w:val="009E1E5E"/>
    <w:rsid w:val="00A64658"/>
    <w:rsid w:val="00AB49CF"/>
    <w:rsid w:val="00AF194F"/>
    <w:rsid w:val="00B215E4"/>
    <w:rsid w:val="00B33F39"/>
    <w:rsid w:val="00B360DD"/>
    <w:rsid w:val="00B865A1"/>
    <w:rsid w:val="00B95BFF"/>
    <w:rsid w:val="00BF5067"/>
    <w:rsid w:val="00C31D69"/>
    <w:rsid w:val="00C35937"/>
    <w:rsid w:val="00CC429D"/>
    <w:rsid w:val="00CE6865"/>
    <w:rsid w:val="00D029A3"/>
    <w:rsid w:val="00D1052B"/>
    <w:rsid w:val="00D32527"/>
    <w:rsid w:val="00D527E6"/>
    <w:rsid w:val="00E23A9C"/>
    <w:rsid w:val="00E2743A"/>
    <w:rsid w:val="00EC6F4C"/>
    <w:rsid w:val="00ED2105"/>
    <w:rsid w:val="00ED552B"/>
    <w:rsid w:val="00F04C82"/>
    <w:rsid w:val="00F26176"/>
    <w:rsid w:val="00F931A8"/>
    <w:rsid w:val="00FB463F"/>
    <w:rsid w:val="00FC0A43"/>
    <w:rsid w:val="00FD7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CEDA0"/>
  <w15:docId w15:val="{BA3BBB35-B0EE-4604-8E21-970BC834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24AF6"/>
    <w:rPr>
      <w:sz w:val="16"/>
      <w:szCs w:val="16"/>
    </w:rPr>
  </w:style>
  <w:style w:type="paragraph" w:styleId="CommentText">
    <w:name w:val="annotation text"/>
    <w:basedOn w:val="Normal"/>
    <w:link w:val="CommentTextChar"/>
    <w:uiPriority w:val="99"/>
    <w:semiHidden/>
    <w:unhideWhenUsed/>
    <w:rsid w:val="00824AF6"/>
    <w:rPr>
      <w:sz w:val="20"/>
      <w:szCs w:val="20"/>
    </w:rPr>
  </w:style>
  <w:style w:type="character" w:customStyle="1" w:styleId="CommentTextChar">
    <w:name w:val="Comment Text Char"/>
    <w:link w:val="CommentText"/>
    <w:uiPriority w:val="99"/>
    <w:semiHidden/>
    <w:rsid w:val="00824AF6"/>
    <w:rPr>
      <w:lang w:val="en-US" w:eastAsia="en-US"/>
    </w:rPr>
  </w:style>
  <w:style w:type="paragraph" w:styleId="CommentSubject">
    <w:name w:val="annotation subject"/>
    <w:basedOn w:val="CommentText"/>
    <w:next w:val="CommentText"/>
    <w:link w:val="CommentSubjectChar"/>
    <w:uiPriority w:val="99"/>
    <w:semiHidden/>
    <w:unhideWhenUsed/>
    <w:rsid w:val="00824AF6"/>
    <w:rPr>
      <w:b/>
      <w:bCs/>
    </w:rPr>
  </w:style>
  <w:style w:type="character" w:customStyle="1" w:styleId="CommentSubjectChar">
    <w:name w:val="Comment Subject Char"/>
    <w:link w:val="CommentSubject"/>
    <w:uiPriority w:val="99"/>
    <w:semiHidden/>
    <w:rsid w:val="00824AF6"/>
    <w:rPr>
      <w:b/>
      <w:bCs/>
      <w:lang w:val="en-US" w:eastAsia="en-US"/>
    </w:rPr>
  </w:style>
  <w:style w:type="paragraph" w:styleId="BalloonText">
    <w:name w:val="Balloon Text"/>
    <w:basedOn w:val="Normal"/>
    <w:link w:val="BalloonTextChar"/>
    <w:uiPriority w:val="99"/>
    <w:semiHidden/>
    <w:unhideWhenUsed/>
    <w:rsid w:val="00824AF6"/>
    <w:rPr>
      <w:rFonts w:ascii="Tahoma" w:hAnsi="Tahoma" w:cs="Tahoma"/>
      <w:sz w:val="16"/>
      <w:szCs w:val="16"/>
    </w:rPr>
  </w:style>
  <w:style w:type="character" w:customStyle="1" w:styleId="BalloonTextChar">
    <w:name w:val="Balloon Text Char"/>
    <w:link w:val="BalloonText"/>
    <w:uiPriority w:val="99"/>
    <w:semiHidden/>
    <w:rsid w:val="00824AF6"/>
    <w:rPr>
      <w:rFonts w:ascii="Tahoma" w:hAnsi="Tahoma" w:cs="Tahoma"/>
      <w:sz w:val="16"/>
      <w:szCs w:val="16"/>
      <w:lang w:val="en-US" w:eastAsia="en-US"/>
    </w:rPr>
  </w:style>
  <w:style w:type="character" w:styleId="Hyperlink">
    <w:name w:val="Hyperlink"/>
    <w:basedOn w:val="DefaultParagraphFont"/>
    <w:uiPriority w:val="99"/>
    <w:unhideWhenUsed/>
    <w:rsid w:val="005161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038152">
      <w:bodyDiv w:val="1"/>
      <w:marLeft w:val="0"/>
      <w:marRight w:val="0"/>
      <w:marTop w:val="0"/>
      <w:marBottom w:val="0"/>
      <w:divBdr>
        <w:top w:val="none" w:sz="0" w:space="0" w:color="auto"/>
        <w:left w:val="none" w:sz="0" w:space="0" w:color="auto"/>
        <w:bottom w:val="none" w:sz="0" w:space="0" w:color="auto"/>
        <w:right w:val="none" w:sz="0" w:space="0" w:color="auto"/>
      </w:divBdr>
    </w:div>
    <w:div w:id="193674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How to prepare an abstract for ISCOM</vt:lpstr>
    </vt:vector>
  </TitlesOfParts>
  <Company>Grizli777</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creator>User</dc:creator>
  <cp:lastModifiedBy>RadoJA</cp:lastModifiedBy>
  <cp:revision>2</cp:revision>
  <cp:lastPrinted>2007-04-17T12:39:00Z</cp:lastPrinted>
  <dcterms:created xsi:type="dcterms:W3CDTF">2019-06-09T02:58:00Z</dcterms:created>
  <dcterms:modified xsi:type="dcterms:W3CDTF">2019-06-09T02:58:00Z</dcterms:modified>
</cp:coreProperties>
</file>